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0"/>
        <w:jc w:val="right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 Беловского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Курской области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содействию развитию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обеспечению условий для благоприятного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Курской области </w:t>
      </w:r>
      <w:r>
        <w:rPr>
          <w:b/>
        </w:rPr>
      </w:r>
      <w:r/>
    </w:p>
    <w:tbl>
      <w:tblPr>
        <w:tblStyle w:val="560"/>
        <w:tblW w:w="14457" w:type="dxa"/>
        <w:tblLayout w:type="fixed"/>
        <w:tblLook w:val="04A0" w:firstRow="1" w:lastRow="0" w:firstColumn="1" w:lastColumn="0" w:noHBand="0" w:noVBand="1"/>
      </w:tblPr>
      <w:tblGrid>
        <w:gridCol w:w="567"/>
        <w:gridCol w:w="11339"/>
        <w:gridCol w:w="1134"/>
        <w:gridCol w:w="1417"/>
      </w:tblGrid>
      <w:tr>
        <w:trPr>
          <w:cantSplit/>
          <w:trHeight w:val="471"/>
          <w:tblHeader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</w:t>
            </w:r>
            <w:r>
              <w:rPr>
                <w:b/>
              </w:rPr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b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  <w:t xml:space="preserve">План 2023 г.</w:t>
            </w:r>
            <w:r>
              <w:rPr>
                <w:b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  <w:t xml:space="preserve">Оценка 2023 г.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1. «Требования стандарта развития конкуренции»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t xml:space="preserve">.</w:t>
            </w: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сотр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области, закрепленного приказом Главы Администрации муниципального района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2. «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Эффективность работы по реализации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ПР-817ГС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15.05.2018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и актуализация на официальном сайте муниципального района (городского округа) Курской облас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«Нарушение антимонопольного законодательства»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количества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нарушений антимонопольно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2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«Мониторинг товарных рынков (сфер экономики)»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роведение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мониторинга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остояния и развития конкурентной среды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оварных рынках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муниципального образования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сформированного и размещенного на официальном сайте муниципального района (городского округа) Курск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выражении);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100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100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4.2.3.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объем финансирования каждого такого хозяйствующего субъекта из бюджета муниципального района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передача в собственность     движимое и недвиж. имущество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«Обучающие мероприятия»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 для органов местного самоуправления Курской области по вопросам содействи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конкуренции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«Качественная оценка проводимой работы»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>
          <w:trHeight w:val="102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остижени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ключевых показателей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мероприятий («дорожной карт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по содействию развитию конкуренции в муниципальном районе (городском округе)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7. «Эффективность работы по повышению и обеспечению условий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благоприятного инвестиционно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климата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муниципальном районе (городском округе) Курской области»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инвестиций в основной капитал по итогам отчетного года (оценка муниципальными районами (городскими округами) Курской области)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r>
              <w:t xml:space="preserve">78,8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r>
              <w:t xml:space="preserve">108,0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муниципально-частного партнерства или концессионных соглашений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нет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нет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инвестиционных площадок, готовых к размещению новых производств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подпрограммы (раздела) развития инвестиционной де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муниципального образования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 w:eastAsia="Times New Roman"/>
                <w:sz w:val="24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 w:eastAsia="Times New Roman"/>
                <w:sz w:val="24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Style w:val="561"/>
              </w:rPr>
            </w:r>
            <w:r/>
          </w:p>
        </w:tc>
      </w:tr>
      <w:tr>
        <w:trPr>
          <w:trHeight w:val="30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8. «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</w:t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направленные на развитие конкуренции в муниципальном образовании 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(городском округе) Курской области»</w:t>
            </w:r>
            <w:r/>
          </w:p>
          <w:p>
            <w:pPr>
              <w:jc w:val="center"/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>
              <w:rPr>
                <w:rStyle w:val="561"/>
                <w:rFonts w:ascii="Times New Roman" w:hAnsi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r>
              <w:t xml:space="preserve">255,0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r>
              <w:t xml:space="preserve">254,1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Оборот средних и малых предприятий, с учетом микропредприятий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душу населения на территории муниципального образования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r>
              <w:t xml:space="preserve">29,0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r>
              <w:t xml:space="preserve">32,9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актуальных административных регламентов по предоставлению муниципальных услуг, в том числе в электронном виде, о выдаче градостроительного плана земельного участка, необходимого для осуществления архитектурно-строительного проектирования, размещенны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муниципального района (городского округа) Курской области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31.01.2017 N 147-р (ред. от 19.04.2019)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0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0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утвержденного перечня муниципального иму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 имущества в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еречне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нормативного правого акта, определяющего порядок формирования, ведения и обязательного опубликования Перечня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нормативного правого акта, определяющего порядок и условия предоставления в аренду имущества, включенного в Перечень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Перечня на официальном сайте муниципального района (городского округа) Курской области»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39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56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предоставления сведений, определенных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сведений об утвержденных перечнях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имущества и муниципального имущества,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указанных в части 4 статьи 18 федерального закона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развитии малого и среднего предпринимательства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едерации", а также об изменениях,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внесенных в такие перечни, в акционерное общество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едеральная корпорация по развитию малого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среднего предпринимательства", формы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и состава таких сведений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</w:t>
            </w:r>
            <w:r>
              <w:rPr>
                <w:rStyle w:val="5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Минэкономразвития России от 20.04.2016 № 264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561"/>
                <w:rFonts w:ascii="Times New Roman" w:hAnsi="Times New Roman" w:cs="Times New Roman"/>
                <w:color w:val="000000"/>
                <w:sz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7"/>
      <w:footnotePr/>
      <w:type w:val="nextPage"/>
      <w:pgSz w:w="16838" w:h="11906" w:orient="landscape"/>
      <w:pgMar w:top="1144" w:right="2665" w:bottom="851" w:left="1134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502298"/>
      <w:docPartObj>
        <w:docPartGallery w:val="Page Numbers (Top of Page)"/>
        <w:docPartUnique w:val="true"/>
      </w:docPartObj>
    </w:sdtPr>
    <w:sdtContent>
      <w:p>
        <w:pPr>
          <w:pStyle w:val="56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569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4"/>
    <w:next w:val="554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5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4"/>
    <w:next w:val="554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5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4"/>
    <w:next w:val="554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5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4"/>
    <w:next w:val="55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5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4"/>
    <w:next w:val="554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5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4"/>
    <w:next w:val="554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5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4"/>
    <w:next w:val="554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5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4"/>
    <w:next w:val="554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5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4"/>
    <w:next w:val="554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5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4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4"/>
    <w:next w:val="554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5"/>
    <w:link w:val="406"/>
    <w:uiPriority w:val="10"/>
    <w:rPr>
      <w:sz w:val="48"/>
      <w:szCs w:val="48"/>
    </w:rPr>
  </w:style>
  <w:style w:type="paragraph" w:styleId="408">
    <w:name w:val="Subtitle"/>
    <w:basedOn w:val="554"/>
    <w:next w:val="554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5"/>
    <w:link w:val="408"/>
    <w:uiPriority w:val="11"/>
    <w:rPr>
      <w:sz w:val="24"/>
      <w:szCs w:val="24"/>
    </w:rPr>
  </w:style>
  <w:style w:type="paragraph" w:styleId="410">
    <w:name w:val="Quote"/>
    <w:basedOn w:val="554"/>
    <w:next w:val="554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4"/>
    <w:next w:val="554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5"/>
    <w:link w:val="569"/>
    <w:uiPriority w:val="99"/>
  </w:style>
  <w:style w:type="character" w:styleId="415">
    <w:name w:val="Footer Char"/>
    <w:basedOn w:val="555"/>
    <w:link w:val="571"/>
    <w:uiPriority w:val="99"/>
  </w:style>
  <w:style w:type="table" w:styleId="416">
    <w:name w:val="Table Grid Light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5">
    <w:name w:val="List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6">
    <w:name w:val="List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7">
    <w:name w:val="List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8">
    <w:name w:val="List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9">
    <w:name w:val="List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0">
    <w:name w:val="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 &amp; 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Bordered &amp; 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Bordered &amp; 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Bordered &amp; 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Bordered &amp; 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Bordered &amp; 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Bordered &amp; 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5">
    <w:name w:val="Bordered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6">
    <w:name w:val="Bordered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7">
    <w:name w:val="Bordered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8">
    <w:name w:val="Bordered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9">
    <w:name w:val="Bordered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0">
    <w:name w:val="Bordered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1">
    <w:name w:val="footnote text"/>
    <w:basedOn w:val="554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55"/>
    <w:uiPriority w:val="99"/>
    <w:unhideWhenUsed/>
    <w:rPr>
      <w:vertAlign w:val="superscript"/>
    </w:rPr>
  </w:style>
  <w:style w:type="paragraph" w:styleId="544">
    <w:name w:val="toc 1"/>
    <w:basedOn w:val="554"/>
    <w:next w:val="554"/>
    <w:uiPriority w:val="39"/>
    <w:unhideWhenUsed/>
    <w:pPr>
      <w:ind w:left="0" w:right="0" w:firstLine="0"/>
      <w:spacing w:after="57"/>
    </w:pPr>
  </w:style>
  <w:style w:type="paragraph" w:styleId="545">
    <w:name w:val="toc 2"/>
    <w:basedOn w:val="554"/>
    <w:next w:val="554"/>
    <w:uiPriority w:val="39"/>
    <w:unhideWhenUsed/>
    <w:pPr>
      <w:ind w:left="283" w:right="0" w:firstLine="0"/>
      <w:spacing w:after="57"/>
    </w:pPr>
  </w:style>
  <w:style w:type="paragraph" w:styleId="546">
    <w:name w:val="toc 3"/>
    <w:basedOn w:val="554"/>
    <w:next w:val="554"/>
    <w:uiPriority w:val="39"/>
    <w:unhideWhenUsed/>
    <w:pPr>
      <w:ind w:left="567" w:right="0" w:firstLine="0"/>
      <w:spacing w:after="57"/>
    </w:pPr>
  </w:style>
  <w:style w:type="paragraph" w:styleId="547">
    <w:name w:val="toc 4"/>
    <w:basedOn w:val="554"/>
    <w:next w:val="554"/>
    <w:uiPriority w:val="39"/>
    <w:unhideWhenUsed/>
    <w:pPr>
      <w:ind w:left="850" w:right="0" w:firstLine="0"/>
      <w:spacing w:after="57"/>
    </w:pPr>
  </w:style>
  <w:style w:type="paragraph" w:styleId="548">
    <w:name w:val="toc 5"/>
    <w:basedOn w:val="554"/>
    <w:next w:val="554"/>
    <w:uiPriority w:val="39"/>
    <w:unhideWhenUsed/>
    <w:pPr>
      <w:ind w:left="1134" w:right="0" w:firstLine="0"/>
      <w:spacing w:after="57"/>
    </w:pPr>
  </w:style>
  <w:style w:type="paragraph" w:styleId="549">
    <w:name w:val="toc 6"/>
    <w:basedOn w:val="554"/>
    <w:next w:val="554"/>
    <w:uiPriority w:val="39"/>
    <w:unhideWhenUsed/>
    <w:pPr>
      <w:ind w:left="1417" w:right="0" w:firstLine="0"/>
      <w:spacing w:after="57"/>
    </w:pPr>
  </w:style>
  <w:style w:type="paragraph" w:styleId="550">
    <w:name w:val="toc 7"/>
    <w:basedOn w:val="554"/>
    <w:next w:val="554"/>
    <w:uiPriority w:val="39"/>
    <w:unhideWhenUsed/>
    <w:pPr>
      <w:ind w:left="1701" w:right="0" w:firstLine="0"/>
      <w:spacing w:after="57"/>
    </w:pPr>
  </w:style>
  <w:style w:type="paragraph" w:styleId="551">
    <w:name w:val="toc 8"/>
    <w:basedOn w:val="554"/>
    <w:next w:val="554"/>
    <w:uiPriority w:val="39"/>
    <w:unhideWhenUsed/>
    <w:pPr>
      <w:ind w:left="1984" w:right="0" w:firstLine="0"/>
      <w:spacing w:after="57"/>
    </w:pPr>
  </w:style>
  <w:style w:type="paragraph" w:styleId="552">
    <w:name w:val="toc 9"/>
    <w:basedOn w:val="554"/>
    <w:next w:val="554"/>
    <w:uiPriority w:val="39"/>
    <w:unhideWhenUsed/>
    <w:pPr>
      <w:ind w:left="2268" w:right="0" w:firstLine="0"/>
      <w:spacing w:after="57"/>
    </w:pPr>
  </w:style>
  <w:style w:type="paragraph" w:styleId="553">
    <w:name w:val="TOC Heading"/>
    <w:uiPriority w:val="39"/>
    <w:unhideWhenUsed/>
  </w:style>
  <w:style w:type="paragraph" w:styleId="554" w:default="1">
    <w:name w:val="Normal"/>
    <w:qFormat/>
  </w:style>
  <w:style w:type="character" w:styleId="555" w:default="1">
    <w:name w:val="Default Paragraph Font"/>
    <w:uiPriority w:val="1"/>
    <w:semiHidden/>
    <w:unhideWhenUsed/>
  </w:style>
  <w:style w:type="table" w:styleId="5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7" w:default="1">
    <w:name w:val="No List"/>
    <w:uiPriority w:val="99"/>
    <w:semiHidden/>
    <w:unhideWhenUsed/>
  </w:style>
  <w:style w:type="character" w:styleId="558" w:customStyle="1">
    <w:name w:val="Заголовок №1_"/>
    <w:basedOn w:val="555"/>
    <w:link w:val="559"/>
    <w:uiPriority w:val="99"/>
    <w:rPr>
      <w:rFonts w:ascii="Arial" w:hAnsi="Arial" w:cs="Arial"/>
      <w:b/>
      <w:bCs/>
      <w:sz w:val="36"/>
      <w:szCs w:val="36"/>
      <w:shd w:val="clear" w:color="auto" w:fill="FFFFFF"/>
    </w:rPr>
  </w:style>
  <w:style w:type="paragraph" w:styleId="559" w:customStyle="1">
    <w:name w:val="Заголовок №1"/>
    <w:basedOn w:val="554"/>
    <w:link w:val="558"/>
    <w:uiPriority w:val="99"/>
    <w:rPr>
      <w:rFonts w:ascii="Arial" w:hAnsi="Arial" w:cs="Arial"/>
      <w:b/>
      <w:bCs/>
      <w:sz w:val="36"/>
      <w:szCs w:val="36"/>
    </w:rPr>
    <w:pPr>
      <w:spacing w:lineRule="atLeast" w:line="240" w:after="0" w:before="360"/>
      <w:shd w:val="clear" w:color="auto" w:fill="FFFFFF"/>
      <w:widowControl w:val="off"/>
      <w:outlineLvl w:val="0"/>
    </w:pPr>
  </w:style>
  <w:style w:type="table" w:styleId="560">
    <w:name w:val="Table Grid"/>
    <w:basedOn w:val="55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1" w:customStyle="1">
    <w:name w:val="Основной текст (2)4"/>
    <w:basedOn w:val="555"/>
    <w:uiPriority w:val="99"/>
    <w:rPr>
      <w:rFonts w:ascii="Arial" w:hAnsi="Arial" w:cs="Arial"/>
      <w:sz w:val="28"/>
      <w:szCs w:val="28"/>
      <w:u w:val="none"/>
    </w:rPr>
  </w:style>
  <w:style w:type="character" w:styleId="562" w:customStyle="1">
    <w:name w:val="Основной текст (2)_"/>
    <w:basedOn w:val="555"/>
    <w:link w:val="563"/>
    <w:uiPriority w:val="99"/>
    <w:rPr>
      <w:rFonts w:ascii="Arial" w:hAnsi="Arial" w:cs="Arial"/>
      <w:sz w:val="28"/>
      <w:szCs w:val="28"/>
      <w:shd w:val="clear" w:color="auto" w:fill="FFFFFF"/>
    </w:rPr>
  </w:style>
  <w:style w:type="paragraph" w:styleId="563" w:customStyle="1">
    <w:name w:val="Основной текст (2)1"/>
    <w:basedOn w:val="554"/>
    <w:link w:val="562"/>
    <w:uiPriority w:val="99"/>
    <w:rPr>
      <w:rFonts w:ascii="Arial" w:hAnsi="Arial" w:cs="Arial"/>
      <w:sz w:val="28"/>
      <w:szCs w:val="28"/>
    </w:rPr>
    <w:pPr>
      <w:jc w:val="both"/>
      <w:spacing w:lineRule="exact" w:line="691" w:after="0"/>
      <w:shd w:val="clear" w:color="auto" w:fill="FFFFFF"/>
      <w:widowControl w:val="off"/>
    </w:pPr>
  </w:style>
  <w:style w:type="character" w:styleId="564" w:customStyle="1">
    <w:name w:val="Основной текст (2) Exact1"/>
    <w:basedOn w:val="562"/>
    <w:uiPriority w:val="99"/>
    <w:rPr>
      <w:rFonts w:ascii="Arial" w:hAnsi="Arial" w:cs="Arial"/>
      <w:sz w:val="28"/>
      <w:szCs w:val="28"/>
      <w:u w:val="single"/>
      <w:shd w:val="clear" w:color="auto" w:fill="FFFFFF"/>
    </w:rPr>
  </w:style>
  <w:style w:type="character" w:styleId="565" w:customStyle="1">
    <w:name w:val="Основной текст (2) Exact"/>
    <w:basedOn w:val="555"/>
    <w:uiPriority w:val="99"/>
    <w:rPr>
      <w:rFonts w:ascii="Arial" w:hAnsi="Arial" w:cs="Arial"/>
      <w:sz w:val="28"/>
      <w:szCs w:val="28"/>
      <w:u w:val="none"/>
    </w:rPr>
  </w:style>
  <w:style w:type="character" w:styleId="566">
    <w:name w:val="Hyperlink"/>
    <w:basedOn w:val="555"/>
    <w:uiPriority w:val="99"/>
    <w:rPr>
      <w:rFonts w:cs="Times New Roman"/>
      <w:color w:val="0066CC"/>
      <w:u w:val="single"/>
    </w:rPr>
  </w:style>
  <w:style w:type="character" w:styleId="567" w:customStyle="1">
    <w:name w:val="Основной текст (2)"/>
    <w:basedOn w:val="562"/>
    <w:uiPriority w:val="99"/>
    <w:rPr>
      <w:rFonts w:ascii="Arial" w:hAnsi="Arial" w:cs="Arial"/>
      <w:sz w:val="28"/>
      <w:szCs w:val="28"/>
      <w:u w:val="single"/>
      <w:shd w:val="clear" w:color="auto" w:fill="FFFFFF"/>
    </w:rPr>
  </w:style>
  <w:style w:type="character" w:styleId="568" w:customStyle="1">
    <w:name w:val="Основной текст (2)2"/>
    <w:basedOn w:val="562"/>
    <w:uiPriority w:val="99"/>
    <w:rPr>
      <w:rFonts w:ascii="Arial" w:hAnsi="Arial" w:cs="Arial"/>
      <w:sz w:val="28"/>
      <w:szCs w:val="28"/>
      <w:u w:val="none"/>
      <w:shd w:val="clear" w:color="auto" w:fill="FFFFFF"/>
    </w:rPr>
  </w:style>
  <w:style w:type="paragraph" w:styleId="569">
    <w:name w:val="Header"/>
    <w:basedOn w:val="554"/>
    <w:link w:val="5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0" w:customStyle="1">
    <w:name w:val="Верхний колонтитул Знак"/>
    <w:basedOn w:val="555"/>
    <w:link w:val="569"/>
    <w:uiPriority w:val="99"/>
  </w:style>
  <w:style w:type="paragraph" w:styleId="571">
    <w:name w:val="Footer"/>
    <w:basedOn w:val="554"/>
    <w:link w:val="5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2" w:customStyle="1">
    <w:name w:val="Нижний колонтитул Знак"/>
    <w:basedOn w:val="555"/>
    <w:link w:val="571"/>
    <w:uiPriority w:val="99"/>
  </w:style>
  <w:style w:type="paragraph" w:styleId="573">
    <w:name w:val="Balloon Text"/>
    <w:basedOn w:val="554"/>
    <w:link w:val="57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4" w:customStyle="1">
    <w:name w:val="Текст выноски Знак"/>
    <w:basedOn w:val="555"/>
    <w:link w:val="57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cp:keywords/>
  <dc:description/>
  <cp:revision>68</cp:revision>
  <dcterms:created xsi:type="dcterms:W3CDTF">2020-03-13T07:33:00Z</dcterms:created>
  <dcterms:modified xsi:type="dcterms:W3CDTF">2024-02-05T11:23:12Z</dcterms:modified>
</cp:coreProperties>
</file>