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31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03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031" w:type="dxa"/>
            <w:vAlign w:val="top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sz w:val="56"/>
              </w:rPr>
            </w:r>
            <w:r>
              <w:rPr>
                <w:rFonts w:ascii="Times New Roman" w:hAnsi="Times New Roman" w:cs="Times New Roman"/>
                <w:sz w:val="56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/>
          </w:p>
          <w:p>
            <w:pPr>
              <w:pStyle w:val="564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6"/>
                <w:szCs w:val="32"/>
              </w:rPr>
            </w:r>
            <w:r>
              <w:rPr>
                <w:b/>
                <w:sz w:val="28"/>
                <w:szCs w:val="28"/>
              </w:rPr>
              <w:t xml:space="preserve">Утвержден протоколом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64"/>
              <w:jc w:val="right"/>
            </w:pPr>
            <w:r>
              <w:rPr>
                <w:b/>
                <w:sz w:val="28"/>
                <w:szCs w:val="28"/>
              </w:rPr>
              <w:t xml:space="preserve">заседания Общественного совета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64"/>
              <w:jc w:val="right"/>
            </w:pPr>
            <w:r>
              <w:rPr>
                <w:b/>
                <w:sz w:val="28"/>
                <w:szCs w:val="28"/>
              </w:rPr>
              <w:t xml:space="preserve">при Администрации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64"/>
              <w:jc w:val="right"/>
            </w:pPr>
            <w:r>
              <w:rPr>
                <w:b/>
                <w:sz w:val="28"/>
                <w:szCs w:val="28"/>
              </w:rPr>
              <w:t xml:space="preserve">Беловского района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64"/>
              <w:jc w:val="right"/>
            </w:pPr>
            <w:r>
              <w:rPr>
                <w:b/>
                <w:sz w:val="28"/>
                <w:szCs w:val="28"/>
              </w:rPr>
              <w:t xml:space="preserve">Курской области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64"/>
              <w:jc w:val="right"/>
            </w:pPr>
            <w:r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 _    января </w:t>
            </w:r>
            <w:r>
              <w:rPr>
                <w:b/>
                <w:sz w:val="28"/>
                <w:szCs w:val="28"/>
              </w:rPr>
              <w:t xml:space="preserve">202</w:t>
            </w:r>
            <w:r>
              <w:rPr>
                <w:b/>
                <w:sz w:val="28"/>
                <w:szCs w:val="28"/>
              </w:rPr>
              <w:t xml:space="preserve">4 года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 xml:space="preserve">1</w:t>
            </w:r>
            <w:r/>
          </w:p>
          <w:p>
            <w:pPr>
              <w:pStyle w:val="564"/>
              <w:jc w:val="center"/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</w:r>
            <w:r/>
          </w:p>
          <w:p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  <w:szCs w:val="32"/>
              </w:rPr>
            </w:r>
            <w:r>
              <w:rPr>
                <w:sz w:val="5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40"/>
              </w:rPr>
              <w:t xml:space="preserve">Доклады</w:t>
            </w:r>
            <w:r>
              <w:rPr>
                <w:sz w:val="56"/>
              </w:rPr>
            </w:r>
            <w:r/>
          </w:p>
          <w:p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  <w:szCs w:val="32"/>
              </w:rPr>
            </w:r>
            <w:r>
              <w:rPr>
                <w:sz w:val="56"/>
              </w:rPr>
            </w:r>
            <w:r/>
          </w:p>
          <w:p>
            <w:pPr>
              <w:pStyle w:val="564"/>
              <w:jc w:val="center"/>
              <w:rPr>
                <w:b/>
                <w:sz w:val="56"/>
              </w:rPr>
            </w:pPr>
            <w:r>
              <w:rPr>
                <w:b/>
                <w:sz w:val="56"/>
                <w:szCs w:val="28"/>
              </w:rPr>
              <w:t xml:space="preserve">об организации системы внутреннего </w:t>
            </w:r>
            <w:r>
              <w:rPr>
                <w:sz w:val="56"/>
              </w:rPr>
            </w:r>
            <w:r/>
          </w:p>
          <w:p>
            <w:pPr>
              <w:pStyle w:val="564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 xml:space="preserve">обеспечения соответствия треб</w:t>
            </w:r>
            <w:r>
              <w:rPr>
                <w:b/>
                <w:sz w:val="56"/>
                <w:szCs w:val="28"/>
              </w:rPr>
              <w:t xml:space="preserve">о</w:t>
            </w:r>
            <w:r>
              <w:rPr>
                <w:b/>
                <w:sz w:val="56"/>
                <w:szCs w:val="28"/>
              </w:rPr>
              <w:t xml:space="preserve">ваниям </w:t>
            </w:r>
            <w:r>
              <w:rPr>
                <w:sz w:val="56"/>
              </w:rPr>
            </w:r>
            <w:r/>
          </w:p>
          <w:p>
            <w:pPr>
              <w:pStyle w:val="564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 xml:space="preserve">антимонопольного законодательства </w:t>
            </w:r>
            <w:r>
              <w:rPr>
                <w:sz w:val="56"/>
              </w:rPr>
            </w:r>
            <w:r/>
          </w:p>
          <w:p>
            <w:pPr>
              <w:pStyle w:val="564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 xml:space="preserve">(антимонопольный ко</w:t>
            </w:r>
            <w:r>
              <w:rPr>
                <w:b/>
                <w:sz w:val="56"/>
                <w:szCs w:val="28"/>
              </w:rPr>
              <w:t xml:space="preserve">м</w:t>
            </w:r>
            <w:r>
              <w:rPr>
                <w:b/>
                <w:sz w:val="56"/>
                <w:szCs w:val="28"/>
              </w:rPr>
              <w:t xml:space="preserve">плаенс)</w:t>
            </w:r>
            <w:r>
              <w:rPr>
                <w:sz w:val="56"/>
              </w:rPr>
            </w:r>
            <w:r/>
          </w:p>
          <w:p>
            <w:pPr>
              <w:pStyle w:val="564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 xml:space="preserve">в Адм</w:t>
            </w:r>
            <w:r>
              <w:rPr>
                <w:b/>
                <w:sz w:val="56"/>
                <w:szCs w:val="28"/>
              </w:rPr>
              <w:t xml:space="preserve">и</w:t>
            </w:r>
            <w:r>
              <w:rPr>
                <w:b/>
                <w:sz w:val="56"/>
                <w:szCs w:val="28"/>
              </w:rPr>
              <w:t xml:space="preserve">нистрации Беловского района Курской </w:t>
            </w:r>
            <w:r>
              <w:rPr>
                <w:b/>
                <w:sz w:val="56"/>
                <w:szCs w:val="28"/>
              </w:rPr>
              <w:t xml:space="preserve">области</w:t>
            </w:r>
            <w:r>
              <w:rPr>
                <w:b/>
                <w:sz w:val="56"/>
                <w:szCs w:val="28"/>
              </w:rPr>
              <w:t xml:space="preserve"> </w:t>
            </w:r>
            <w:r/>
          </w:p>
          <w:p>
            <w:pPr>
              <w:pStyle w:val="564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 xml:space="preserve">за 2023 - 2025 годы</w:t>
            </w:r>
            <w:r>
              <w:rPr>
                <w:sz w:val="56"/>
              </w:rPr>
            </w:r>
            <w:r/>
          </w:p>
          <w:p>
            <w:pPr>
              <w:pStyle w:val="564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</w:r>
            <w:r>
              <w:rPr>
                <w:b/>
                <w:sz w:val="56"/>
                <w:szCs w:val="28"/>
              </w:rPr>
            </w:r>
            <w:r/>
          </w:p>
          <w:p>
            <w:pPr>
              <w:pStyle w:val="564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</w:r>
            <w:r>
              <w:rPr>
                <w:b/>
                <w:sz w:val="56"/>
                <w:szCs w:val="28"/>
              </w:rPr>
            </w:r>
            <w:r/>
          </w:p>
          <w:p>
            <w:pPr>
              <w:pStyle w:val="564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</w:r>
            <w:r>
              <w:rPr>
                <w:b/>
                <w:sz w:val="56"/>
                <w:szCs w:val="28"/>
              </w:rPr>
            </w:r>
            <w:r/>
          </w:p>
          <w:p>
            <w:pPr>
              <w:pStyle w:val="564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</w:r>
            <w:r>
              <w:rPr>
                <w:b/>
                <w:sz w:val="56"/>
                <w:szCs w:val="28"/>
              </w:rPr>
            </w:r>
            <w:r/>
          </w:p>
          <w:p>
            <w:pPr>
              <w:pStyle w:val="564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сл. Белая</w:t>
            </w:r>
            <w:r>
              <w:rPr>
                <w:b/>
                <w:sz w:val="32"/>
                <w:szCs w:val="28"/>
              </w:rPr>
            </w:r>
            <w:r/>
          </w:p>
          <w:p>
            <w:pPr>
              <w:pStyle w:val="564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январь  2024 г.</w:t>
            </w:r>
            <w:r>
              <w:rPr>
                <w:b/>
                <w:sz w:val="32"/>
                <w:szCs w:val="28"/>
              </w:rPr>
            </w:r>
            <w:r/>
          </w:p>
        </w:tc>
      </w:tr>
    </w:tbl>
    <w:p>
      <w:pPr>
        <w:pStyle w:val="564"/>
        <w:jc w:val="both"/>
        <w:rPr>
          <w:sz w:val="56"/>
          <w:szCs w:val="28"/>
        </w:rPr>
      </w:pPr>
      <w:r>
        <w:rPr>
          <w:sz w:val="56"/>
          <w:szCs w:val="28"/>
        </w:rPr>
      </w:r>
      <w:r>
        <w:rPr>
          <w:sz w:val="56"/>
        </w:rPr>
      </w:r>
      <w:r/>
    </w:p>
    <w:p>
      <w:pPr>
        <w:pStyle w:val="5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</w:t>
      </w:r>
      <w:r/>
    </w:p>
    <w:p>
      <w:pPr>
        <w:pStyle w:val="5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системы внутреннего обеспечения соответствия треб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ваниям антимонопольного законодательства </w:t>
      </w:r>
      <w:r>
        <w:rPr>
          <w:b/>
          <w:sz w:val="28"/>
          <w:szCs w:val="28"/>
        </w:rPr>
      </w:r>
      <w:r/>
    </w:p>
    <w:p>
      <w:pPr>
        <w:pStyle w:val="5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нистрации Беловского района Курской области</w:t>
      </w:r>
      <w:r>
        <w:rPr>
          <w:b/>
          <w:sz w:val="28"/>
          <w:szCs w:val="28"/>
        </w:rPr>
        <w:t xml:space="preserve"> за 2023 год</w:t>
      </w:r>
      <w:r>
        <w:rPr>
          <w:b/>
          <w:sz w:val="28"/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21.12.2017 № 618 «Об основных </w:t>
      </w:r>
      <w:r>
        <w:rPr>
          <w:sz w:val="28"/>
          <w:szCs w:val="28"/>
        </w:rPr>
        <w:t xml:space="preserve">направлениях</w:t>
      </w:r>
      <w:r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политики по</w:t>
      </w:r>
      <w:r>
        <w:rPr>
          <w:sz w:val="28"/>
          <w:szCs w:val="28"/>
        </w:rPr>
        <w:t xml:space="preserve"> развитию конкуренции», Распоряжения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Администрации Курской области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.02.2019 № </w:t>
      </w:r>
      <w:r>
        <w:rPr>
          <w:sz w:val="28"/>
          <w:szCs w:val="28"/>
        </w:rPr>
        <w:t xml:space="preserve">54</w:t>
      </w:r>
      <w:r>
        <w:rPr>
          <w:sz w:val="28"/>
          <w:szCs w:val="28"/>
        </w:rPr>
        <w:t xml:space="preserve">-р</w:t>
      </w:r>
      <w:r>
        <w:rPr>
          <w:sz w:val="28"/>
          <w:szCs w:val="28"/>
        </w:rPr>
        <w:t xml:space="preserve">г «О создании и организации системы внутреннего обеспечения соответствия требованиям антимонопольного законодательства в органах исполнительной власти Курской области»</w:t>
      </w:r>
      <w:r>
        <w:rPr>
          <w:sz w:val="28"/>
          <w:szCs w:val="28"/>
        </w:rPr>
        <w:t xml:space="preserve">, постановления Администрации Беловского района Курской области от 15.07.2019 года № 544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системы внутреннего обеспечения соответствия деятельности Администрации Беловского района Курской области требованиям антимонопольного законодательства» А</w:t>
      </w:r>
      <w:r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реализовались</w:t>
      </w:r>
      <w:r>
        <w:rPr>
          <w:sz w:val="28"/>
          <w:szCs w:val="28"/>
        </w:rPr>
        <w:t xml:space="preserve"> основные мероприятия по внедрению </w:t>
      </w:r>
      <w:r>
        <w:rPr>
          <w:sz w:val="28"/>
          <w:szCs w:val="28"/>
        </w:rPr>
        <w:t xml:space="preserve">системы внутреннего обеспечения соответствия требованиям ан</w:t>
      </w:r>
      <w:r>
        <w:rPr>
          <w:sz w:val="28"/>
          <w:szCs w:val="28"/>
        </w:rPr>
        <w:t xml:space="preserve">тимонопольного законодательства. Разработаны и утверждены:</w:t>
      </w:r>
      <w:r>
        <w:rPr>
          <w:sz w:val="28"/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Положение)</w:t>
      </w:r>
      <w:r>
        <w:rPr>
          <w:sz w:val="28"/>
          <w:szCs w:val="28"/>
        </w:rPr>
        <w:t xml:space="preserve">, определен уполномоченн</w:t>
      </w:r>
      <w:r>
        <w:rPr>
          <w:sz w:val="28"/>
          <w:szCs w:val="28"/>
        </w:rPr>
        <w:t xml:space="preserve">ый орган</w:t>
      </w:r>
      <w:r>
        <w:rPr>
          <w:sz w:val="28"/>
          <w:szCs w:val="28"/>
        </w:rPr>
        <w:t xml:space="preserve">, ответственн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за внедрение антимонопольного комплаенса и контроль за его исполнением</w:t>
      </w:r>
      <w:r>
        <w:rPr>
          <w:sz w:val="28"/>
          <w:szCs w:val="28"/>
        </w:rPr>
        <w:t xml:space="preserve">;</w:t>
      </w:r>
      <w:r/>
    </w:p>
    <w:p>
      <w:pPr>
        <w:pStyle w:val="564"/>
        <w:contextualSpacing w:val="true"/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карта рисков антимонопольного законодательства;</w:t>
      </w:r>
      <w:r/>
    </w:p>
    <w:p>
      <w:pPr>
        <w:pStyle w:val="564"/>
        <w:contextualSpacing w:val="true"/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(«дорожная карта») по снижению рисков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польного законодательства;</w:t>
      </w:r>
      <w:r/>
    </w:p>
    <w:p>
      <w:pPr>
        <w:pStyle w:val="564"/>
        <w:contextualSpacing w:val="true"/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ключевые показатели эффективности реализации мероприятий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польного комплаенса.</w:t>
      </w:r>
      <w:r/>
    </w:p>
    <w:p>
      <w:pPr>
        <w:pStyle w:val="564"/>
        <w:contextualSpacing w:val="true"/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Во исполнение закона Курской области от 25.02.2014 года №9-ЗКО «О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рядке проведения оценки регулирующего воздействия проектов нормативных правовых актов Курской области, проектов муниципальных нормативных прав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вых актов на территории Курской области» (в ред. от 18.02.2020 года) Админ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 района принято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становление от 24.11.2020  № 804 «Об утверждении Положения и Порядка проведения оценки регулирующего воздействия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ектов муниципальных нормативных правовых актов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Ку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ской области».</w:t>
      </w:r>
      <w:r/>
    </w:p>
    <w:p>
      <w:pPr>
        <w:pStyle w:val="564"/>
        <w:contextualSpacing w:val="true"/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органом, ответственным за внедрение антимонопольного комплаенса, определен отдел </w:t>
      </w:r>
      <w:r>
        <w:rPr>
          <w:sz w:val="28"/>
          <w:szCs w:val="28"/>
        </w:rPr>
        <w:t xml:space="preserve">экономики, прогнозирования и трудовых отношений 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должностные лица, исполняющие мероприятия по внедрению антимонопольного комплаенса, подчинены </w:t>
      </w:r>
      <w:r>
        <w:rPr>
          <w:sz w:val="28"/>
          <w:szCs w:val="28"/>
        </w:rPr>
        <w:t xml:space="preserve"> первому  заместителю  Главы  Беловского  района.</w:t>
      </w:r>
      <w:r>
        <w:rPr>
          <w:sz w:val="28"/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szCs w:val="28"/>
        </w:rPr>
      </w:pPr>
      <w:r>
        <w:rPr>
          <w:sz w:val="28"/>
          <w:szCs w:val="28"/>
        </w:rPr>
        <w:t xml:space="preserve">Во исполнение Раздела № 6 Положения об организации системы внутреннего обеспечения соответствия деятельности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Курской области требован</w:t>
      </w:r>
      <w:r>
        <w:rPr>
          <w:sz w:val="28"/>
          <w:szCs w:val="28"/>
        </w:rPr>
        <w:t xml:space="preserve">иям антимонопольного законодательства все муниципальные служащие Администрации Беловского района ознакомлены с постановлением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от 15.07.2019 года № 544 «Об организации системы внутреннего обеспечения соответствия де</w:t>
      </w:r>
      <w:r>
        <w:rPr>
          <w:sz w:val="28"/>
          <w:szCs w:val="28"/>
        </w:rPr>
        <w:t xml:space="preserve">ятельности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Курской области требованиям антимонопольного законодательства». </w:t>
      </w:r>
      <w:r>
        <w:rPr>
          <w:sz w:val="28"/>
          <w:szCs w:val="28"/>
        </w:rPr>
        <w:t xml:space="preserve"> </w:t>
      </w:r>
      <w:r/>
    </w:p>
    <w:p>
      <w:pPr>
        <w:pStyle w:val="564"/>
        <w:ind w:firstLine="709"/>
        <w:jc w:val="both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 целях выявления рисков нарушения антимонопольного законодательства структурными подразделениями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проводятся следующие мероприятия:</w:t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за предыдущие 3 года (наличие предостережений,  предупреждений, штрафов, жалоб, возбужденных дел);</w:t>
      </w:r>
      <w:r/>
    </w:p>
    <w:p>
      <w:pPr>
        <w:pStyle w:val="564"/>
        <w:ind w:firstLine="709"/>
        <w:jc w:val="both"/>
        <w:spacing w:lineRule="auto" w:line="276"/>
      </w:pPr>
      <w:r>
        <w:rPr>
          <w:sz w:val="28"/>
          <w:szCs w:val="28"/>
        </w:rPr>
        <w:t xml:space="preserve">б) анализ нормативных правовых актов Администрации Беловского  района;</w:t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в) анализ проектов нормативных правовых актов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по направлениям деятельности структурных подразделений;</w:t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г) анализ оказанных муниципальных услуг на предмет соответствия их антимонопольному законодательству, а также сроков соблюдения оказания муниципальных услуг;</w:t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д) мониторинг и анализ практики применения Администрацией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антимонопольного законодательства;</w:t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е) проведение систематической оценки эффективности разработанных и реализуемых мероприятий</w:t>
      </w:r>
      <w:r>
        <w:rPr>
          <w:sz w:val="28"/>
          <w:szCs w:val="28"/>
        </w:rPr>
        <w:t xml:space="preserve"> по снижению рисков нарушения антимонопольного законодательства.</w:t>
      </w:r>
      <w:r>
        <w:rPr>
          <w:sz w:val="28"/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района, ее структурных подразделениях в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 году </w:t>
      </w:r>
      <w:r>
        <w:rPr>
          <w:sz w:val="28"/>
          <w:szCs w:val="28"/>
        </w:rPr>
        <w:t xml:space="preserve">проводилась</w:t>
      </w:r>
      <w:r>
        <w:rPr>
          <w:sz w:val="28"/>
          <w:szCs w:val="28"/>
        </w:rPr>
        <w:t xml:space="preserve"> работа по осуществлению сбора сведений о наличии нарушений антимонопольного законодательства.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564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 деятельности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 году нарушений антимонопольного законодательства не имеется.</w:t>
      </w:r>
      <w:r/>
    </w:p>
    <w:p>
      <w:pPr>
        <w:pStyle w:val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выявления и исключения рисков нарушения антимонопольного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конодательства, а также проведения анализа о целесообразности (нецелесообра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ности) внесения изменений в нормативные правовые акты Администрацией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сформирован и размещен на официальном сайте Администр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 в разделе «</w:t>
      </w:r>
      <w:r>
        <w:rPr>
          <w:sz w:val="28"/>
          <w:szCs w:val="28"/>
        </w:rPr>
        <w:t xml:space="preserve">Справочные материалы», подраздел  «Антимонопольный комплаенс» </w:t>
      </w: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>
        <w:rPr>
          <w:lang w:val="ru-RU"/>
        </w:rPr>
        <w:instrText xml:space="preserve">http://bel.rkursk.ru/index.php?mun_obr=1&amp;sub_menus_id=</w:instrText>
      </w:r>
      <w:r>
        <w:rPr>
          <w:lang w:val="ru-RU"/>
        </w:rPr>
        <w:instrText xml:space="preserve">40148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>
        <w:rPr>
          <w:rStyle w:val="574"/>
          <w:lang w:val="ru-RU"/>
        </w:rPr>
        <w:t xml:space="preserve">http://bel.rkursk.ru/index.php?mun_obr=1&amp;sub_menus_id=40148</w:t>
      </w:r>
      <w:r>
        <w:rPr>
          <w:lang w:val="ru-RU"/>
        </w:rPr>
        <w:fldChar w:fldCharType="end"/>
      </w:r>
      <w:r>
        <w:rPr>
          <w:lang w:val="ru-RU"/>
        </w:rPr>
        <w:t xml:space="preserve">  </w:t>
      </w:r>
      <w:r>
        <w:rPr>
          <w:sz w:val="28"/>
          <w:szCs w:val="28"/>
        </w:rPr>
        <w:t xml:space="preserve">  пер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чен</w:t>
      </w:r>
      <w:r>
        <w:rPr>
          <w:sz w:val="28"/>
          <w:szCs w:val="28"/>
        </w:rPr>
        <w:t xml:space="preserve">ь действующих нормативных правовых актов, прин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тых  с 1.01.2019 года и по настоящее время</w:t>
      </w:r>
      <w:r>
        <w:rPr>
          <w:sz w:val="28"/>
          <w:szCs w:val="28"/>
        </w:rPr>
        <w:t xml:space="preserve">. В указанный период каких- либо замечаний, предложений от организаций и гра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дан не поступало.</w:t>
      </w:r>
      <w:r>
        <w:rPr>
          <w:sz w:val="28"/>
          <w:szCs w:val="28"/>
        </w:rPr>
      </w:r>
      <w:r/>
    </w:p>
    <w:p>
      <w:pPr>
        <w:pStyle w:val="564"/>
        <w:jc w:val="both"/>
        <w:rPr>
          <w:szCs w:val="28"/>
          <w:lang w:val="ru-RU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  <w:t xml:space="preserve">Мониторинг и анализ практики применения Администрацией Беловского </w:t>
      </w:r>
      <w:r>
        <w:rPr>
          <w:sz w:val="28"/>
          <w:szCs w:val="28"/>
        </w:rPr>
        <w:t xml:space="preserve"> района показал, что в деятельности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факты нарушения антимонопольного законодательства не выявл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ны.</w:t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по итогам проведенного анализа нормативных правовых актов (проектов нормативных правовых актов) Администрацией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сделан вывод об их соответствии антимонопольному законодательству, о нецел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сообразности внесения изменений в действующие нормативные правовые акты, а также в разработанные проекты нормативных правовых актов.</w:t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  <w:t xml:space="preserve">Ключевыми показателями эффективности антимонопольного комплаенса для Администрации 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являются:</w:t>
      </w:r>
      <w:r>
        <w:rPr>
          <w:sz w:val="28"/>
          <w:szCs w:val="28"/>
        </w:rPr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  <w:t xml:space="preserve">а) коэффициент снижения количества нарушений антимонопольного зак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нодательства со стороны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Курской обл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сти (отчётный год к предыдущему</w:t>
      </w:r>
      <w:r>
        <w:rPr>
          <w:sz w:val="28"/>
          <w:szCs w:val="28"/>
        </w:rPr>
        <w:t xml:space="preserve">);</w:t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  <w:t xml:space="preserve">б) доля проектов нормативных правовых актов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Курской области, в которых выявлены риски нарушения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польного законодательства (отчётный год);</w:t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  <w:t xml:space="preserve">в) доля нормативных правовых актов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она Курской области, в которых выявлены риски нарушения антимонопольного законодательства (отчётный год).</w:t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енса в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производится в соответствии с Методикой расчета ключевых показателей эффективности функционирования в муниципальном образовании в соответствии с приказом Федеральной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польной службы от 5 февраля 2019 года №133-19.</w:t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Уровень риска нарушений антимонопольного законодательства в Админ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определен как низкий, так как в анализир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емый период отсутствует наличие выдачи предупреждений, возбуждения дел о наруш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нии антимонопольного законодательства, наложения штрафов.</w:t>
      </w:r>
      <w:r/>
    </w:p>
    <w:p>
      <w:pPr>
        <w:pStyle w:val="564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 на утверждение предоставляется в Общественный совет при Адм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и направляется в Уполном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ченный орган Администрации Курской области. </w:t>
      </w:r>
      <w:r>
        <w:rPr>
          <w:sz w:val="28"/>
          <w:szCs w:val="28"/>
        </w:rPr>
      </w:r>
      <w:r/>
    </w:p>
    <w:p>
      <w:pPr>
        <w:pStyle w:val="56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</w:r>
      <w:r/>
    </w:p>
    <w:p>
      <w:pPr>
        <w:pStyle w:val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</w:t>
      </w:r>
      <w:r>
        <w:rPr>
          <w:sz w:val="28"/>
          <w:szCs w:val="28"/>
        </w:rPr>
        <w:t xml:space="preserve">                                          Н.В. Волобуев</w:t>
      </w: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1" w:bottom="1134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4"/>
        <w:ind w:left="1068" w:hanging="360"/>
        <w:tabs>
          <w:tab w:val="left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788" w:hanging="360"/>
        <w:tabs>
          <w:tab w:val="left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508" w:hanging="180"/>
        <w:tabs>
          <w:tab w:val="left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3228" w:hanging="360"/>
        <w:tabs>
          <w:tab w:val="left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948" w:hanging="360"/>
        <w:tabs>
          <w:tab w:val="left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668" w:hanging="180"/>
        <w:tabs>
          <w:tab w:val="left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388" w:hanging="360"/>
        <w:tabs>
          <w:tab w:val="left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6108" w:hanging="360"/>
        <w:tabs>
          <w:tab w:val="left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828" w:hanging="180"/>
        <w:tabs>
          <w:tab w:val="left" w:pos="682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4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4"/>
        <w:ind w:left="1976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971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link w:val="420"/>
    <w:uiPriority w:val="99"/>
  </w:style>
  <w:style w:type="paragraph" w:styleId="422">
    <w:name w:val="Footer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link w:val="422"/>
    <w:uiPriority w:val="99"/>
  </w:style>
  <w:style w:type="table" w:styleId="42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uiPriority w:val="99"/>
    <w:unhideWhenUsed/>
    <w:rPr>
      <w:vertAlign w:val="superscript"/>
    </w:rPr>
  </w:style>
  <w:style w:type="paragraph" w:styleId="554">
    <w:name w:val="toc 1"/>
    <w:uiPriority w:val="39"/>
    <w:unhideWhenUsed/>
    <w:pPr>
      <w:ind w:left="0" w:right="0" w:firstLine="0"/>
      <w:spacing w:after="57"/>
    </w:pPr>
  </w:style>
  <w:style w:type="paragraph" w:styleId="555">
    <w:name w:val="toc 2"/>
    <w:uiPriority w:val="39"/>
    <w:unhideWhenUsed/>
    <w:pPr>
      <w:ind w:left="283" w:right="0" w:firstLine="0"/>
      <w:spacing w:after="57"/>
    </w:pPr>
  </w:style>
  <w:style w:type="paragraph" w:styleId="556">
    <w:name w:val="toc 3"/>
    <w:uiPriority w:val="39"/>
    <w:unhideWhenUsed/>
    <w:pPr>
      <w:ind w:left="567" w:right="0" w:firstLine="0"/>
      <w:spacing w:after="57"/>
    </w:pPr>
  </w:style>
  <w:style w:type="paragraph" w:styleId="557">
    <w:name w:val="toc 4"/>
    <w:uiPriority w:val="39"/>
    <w:unhideWhenUsed/>
    <w:pPr>
      <w:ind w:left="850" w:right="0" w:firstLine="0"/>
      <w:spacing w:after="57"/>
    </w:pPr>
  </w:style>
  <w:style w:type="paragraph" w:styleId="558">
    <w:name w:val="toc 5"/>
    <w:uiPriority w:val="39"/>
    <w:unhideWhenUsed/>
    <w:pPr>
      <w:ind w:left="1134" w:right="0" w:firstLine="0"/>
      <w:spacing w:after="57"/>
    </w:pPr>
  </w:style>
  <w:style w:type="paragraph" w:styleId="559">
    <w:name w:val="toc 6"/>
    <w:uiPriority w:val="39"/>
    <w:unhideWhenUsed/>
    <w:pPr>
      <w:ind w:left="1417" w:right="0" w:firstLine="0"/>
      <w:spacing w:after="57"/>
    </w:pPr>
  </w:style>
  <w:style w:type="paragraph" w:styleId="560">
    <w:name w:val="toc 7"/>
    <w:uiPriority w:val="39"/>
    <w:unhideWhenUsed/>
    <w:pPr>
      <w:ind w:left="1701" w:right="0" w:firstLine="0"/>
      <w:spacing w:after="57"/>
    </w:pPr>
  </w:style>
  <w:style w:type="paragraph" w:styleId="561">
    <w:name w:val="toc 8"/>
    <w:uiPriority w:val="39"/>
    <w:unhideWhenUsed/>
    <w:pPr>
      <w:ind w:left="1984" w:right="0" w:firstLine="0"/>
      <w:spacing w:after="57"/>
    </w:pPr>
  </w:style>
  <w:style w:type="paragraph" w:styleId="562">
    <w:name w:val="toc 9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>
    <w:name w:val="Обычный"/>
    <w:next w:val="564"/>
    <w:link w:val="564"/>
    <w:rPr>
      <w:sz w:val="24"/>
      <w:szCs w:val="24"/>
      <w:lang w:val="ru-RU" w:bidi="ar-SA" w:eastAsia="ru-RU"/>
    </w:rPr>
  </w:style>
  <w:style w:type="paragraph" w:styleId="565">
    <w:name w:val="Заголовок 1"/>
    <w:basedOn w:val="564"/>
    <w:next w:val="564"/>
    <w:link w:val="564"/>
    <w:rPr>
      <w:b/>
      <w:bCs/>
    </w:rPr>
    <w:pPr>
      <w:keepNext/>
      <w:outlineLvl w:val="0"/>
    </w:pPr>
  </w:style>
  <w:style w:type="paragraph" w:styleId="566">
    <w:name w:val="Заголовок 2"/>
    <w:basedOn w:val="564"/>
    <w:next w:val="564"/>
    <w:link w:val="564"/>
    <w:rPr>
      <w:b/>
      <w:bCs/>
      <w:sz w:val="22"/>
    </w:rPr>
    <w:pPr>
      <w:keepNext/>
      <w:outlineLvl w:val="1"/>
    </w:pPr>
  </w:style>
  <w:style w:type="paragraph" w:styleId="567">
    <w:name w:val="Заголовок 3"/>
    <w:basedOn w:val="564"/>
    <w:next w:val="564"/>
    <w:link w:val="564"/>
    <w:rPr>
      <w:b/>
      <w:bCs/>
      <w:sz w:val="28"/>
    </w:rPr>
    <w:pPr>
      <w:keepNext/>
      <w:outlineLvl w:val="2"/>
    </w:pPr>
  </w:style>
  <w:style w:type="paragraph" w:styleId="568">
    <w:name w:val="Заголовок 4"/>
    <w:basedOn w:val="564"/>
    <w:next w:val="564"/>
    <w:link w:val="564"/>
    <w:rPr>
      <w:b/>
      <w:bCs/>
      <w:sz w:val="28"/>
    </w:rPr>
    <w:pPr>
      <w:jc w:val="center"/>
      <w:keepNext/>
      <w:tabs>
        <w:tab w:val="left" w:pos="2020" w:leader="none"/>
      </w:tabs>
      <w:outlineLvl w:val="3"/>
    </w:pPr>
  </w:style>
  <w:style w:type="character" w:styleId="569">
    <w:name w:val="Основной шрифт абзаца"/>
    <w:next w:val="569"/>
    <w:link w:val="564"/>
    <w:semiHidden/>
  </w:style>
  <w:style w:type="table" w:styleId="570">
    <w:name w:val="Обычная таблица"/>
    <w:next w:val="570"/>
    <w:link w:val="564"/>
    <w:semiHidden/>
    <w:tblPr/>
  </w:style>
  <w:style w:type="numbering" w:styleId="571">
    <w:name w:val="Нет списка"/>
    <w:next w:val="571"/>
    <w:link w:val="564"/>
    <w:semiHidden/>
  </w:style>
  <w:style w:type="paragraph" w:styleId="572">
    <w:name w:val="Основной текст"/>
    <w:basedOn w:val="564"/>
    <w:next w:val="572"/>
    <w:link w:val="575"/>
    <w:rPr>
      <w:b/>
      <w:bCs/>
      <w:sz w:val="28"/>
    </w:rPr>
  </w:style>
  <w:style w:type="table" w:styleId="573">
    <w:name w:val="Сетка таблицы"/>
    <w:basedOn w:val="570"/>
    <w:next w:val="573"/>
    <w:link w:val="564"/>
    <w:tblPr/>
  </w:style>
  <w:style w:type="character" w:styleId="574">
    <w:name w:val="Гиперссылка"/>
    <w:next w:val="574"/>
    <w:link w:val="564"/>
    <w:rPr>
      <w:color w:val="0000FF"/>
      <w:u w:val="single"/>
    </w:rPr>
  </w:style>
  <w:style w:type="character" w:styleId="575">
    <w:name w:val="Основной текст Знак"/>
    <w:next w:val="575"/>
    <w:link w:val="572"/>
    <w:rPr>
      <w:b/>
      <w:bCs/>
      <w:sz w:val="28"/>
      <w:szCs w:val="24"/>
    </w:rPr>
  </w:style>
  <w:style w:type="paragraph" w:styleId="576">
    <w:name w:val="Текст выноски"/>
    <w:basedOn w:val="564"/>
    <w:next w:val="576"/>
    <w:link w:val="577"/>
    <w:rPr>
      <w:rFonts w:ascii="Tahoma" w:hAnsi="Tahoma"/>
      <w:sz w:val="16"/>
      <w:szCs w:val="16"/>
    </w:rPr>
  </w:style>
  <w:style w:type="character" w:styleId="577">
    <w:name w:val="Текст выноски Знак"/>
    <w:next w:val="577"/>
    <w:link w:val="576"/>
    <w:rPr>
      <w:rFonts w:ascii="Tahoma" w:hAnsi="Tahoma"/>
      <w:sz w:val="16"/>
      <w:szCs w:val="16"/>
    </w:rPr>
  </w:style>
  <w:style w:type="character" w:styleId="578" w:default="1">
    <w:name w:val="Default Paragraph Font"/>
    <w:uiPriority w:val="1"/>
    <w:semiHidden/>
    <w:unhideWhenUsed/>
  </w:style>
  <w:style w:type="numbering" w:styleId="579" w:default="1">
    <w:name w:val="No List"/>
    <w:uiPriority w:val="99"/>
    <w:semiHidden/>
    <w:unhideWhenUsed/>
  </w:style>
  <w:style w:type="paragraph" w:styleId="580" w:default="1">
    <w:name w:val="Normal"/>
    <w:qFormat/>
  </w:style>
  <w:style w:type="table" w:styleId="5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2024-01-24T07:55:04Z</dcterms:modified>
</cp:coreProperties>
</file>