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Отчёт о реализации Плана мероприятий («дорожная  карта») </w:t>
      </w:r>
      <w:r>
        <w:rPr>
          <w:b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по снижению рисков  </w:t>
      </w:r>
      <w:r>
        <w:rPr>
          <w:rFonts w:ascii="Times New Roman" w:hAnsi="Times New Roman" w:cs="Times New Roman" w:eastAsia="Times New Roman"/>
          <w:b/>
          <w:sz w:val="28"/>
        </w:rPr>
        <w:t xml:space="preserve">нарушения антимонопольного </w:t>
      </w:r>
      <w:r>
        <w:rPr>
          <w:b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законодательства администрации Беловского района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Курской области  за 2023 год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Style w:val="401"/>
        <w:tblW w:w="0" w:type="auto"/>
        <w:tblInd w:w="-777" w:type="dxa"/>
        <w:tblLayout w:type="fixed"/>
        <w:tblLook w:val="04A0" w:firstRow="1" w:lastRow="0" w:firstColumn="1" w:lastColumn="0" w:noHBand="0" w:noVBand="1"/>
      </w:tblPr>
      <w:tblGrid>
        <w:gridCol w:w="460"/>
        <w:gridCol w:w="3015"/>
        <w:gridCol w:w="3504"/>
        <w:gridCol w:w="1786"/>
        <w:gridCol w:w="2801"/>
        <w:gridCol w:w="3084"/>
      </w:tblGrid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Краткое описание комплаенс-риска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Наименование мероприятий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комплаенс-рисков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Срок исполнения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Структурное подразделение отделов, ответственное за выполнение  мероприятий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комплаенс-рисков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Описание результата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- повышение квалификации сотрудников, ответственных за подготовку муниципальных правовых актов;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- анализ проектов муниципальных правовых актов на соответствие требованиям антимонопольного законодательства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постоянно в течении года</w:t>
            </w:r>
            <w:r>
              <w:rPr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Руководитель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соответствующего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структурного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подразделения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Администрации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Беловского  </w:t>
            </w:r>
            <w:r>
              <w:rPr>
                <w:rStyle w:val="562"/>
                <w:sz w:val="28"/>
                <w:lang w:eastAsia="ru-RU"/>
              </w:rPr>
              <w:t xml:space="preserve">района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Минимизация рисков за счет повышения уровня компетенции сотрудников при подготовке проектов муниципальных правовых актов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pStyle w:val="563"/>
              <w:ind w:left="700"/>
              <w:jc w:val="left"/>
              <w:spacing w:lineRule="exact" w:line="298" w:after="0" w:before="0"/>
              <w:shd w:val="clear" w:color="auto" w:fill="auto"/>
              <w:tabs>
                <w:tab w:val="left" w:pos="771" w:leader="none"/>
              </w:tabs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-повышение квалификации сотрудников, ответственных за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предоставления муниципального имущества в аренду, безвозмездное пользование;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tabs>
                <w:tab w:val="left" w:pos="149" w:leader="none"/>
              </w:tabs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-повышение эффективности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управления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постоянно в течении года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отдела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контрактной системе в сфере закупок </w:t>
            </w:r>
            <w:r>
              <w:rPr>
                <w:rStyle w:val="562"/>
                <w:rFonts w:ascii="Times New Roman" w:hAnsi="Times New Roman" w:cs="Times New Roman" w:eastAsia="Times New Roman"/>
                <w:sz w:val="28"/>
                <w:lang w:eastAsia="ru-RU"/>
              </w:rPr>
              <w:t xml:space="preserve">Администрации Беловского </w:t>
            </w:r>
            <w:r>
              <w:rPr>
                <w:rStyle w:val="562"/>
                <w:rFonts w:ascii="Times New Roman" w:hAnsi="Times New Roman" w:cs="Times New Roman" w:eastAsia="Times New Roman"/>
                <w:sz w:val="28"/>
                <w:lang w:eastAsia="ru-RU"/>
              </w:rPr>
              <w:t xml:space="preserve"> района</w:t>
            </w:r>
            <w:r>
              <w:rPr>
                <w:sz w:val="28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4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Создание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40" w:after="0" w:before="60"/>
              <w:shd w:val="clear" w:color="auto" w:fill="auto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необоснованных </w:t>
            </w:r>
            <w:r>
              <w:rPr>
                <w:sz w:val="28"/>
              </w:rPr>
            </w:r>
            <w:r/>
          </w:p>
          <w:p>
            <w:pPr>
              <w:pStyle w:val="563"/>
              <w:jc w:val="center"/>
              <w:spacing w:lineRule="exact" w:line="298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pStyle w:val="563"/>
              <w:jc w:val="center"/>
              <w:spacing w:lineRule="exact" w:line="298" w:after="0" w:before="0"/>
              <w:shd w:val="clear" w:color="auto" w:fill="auto"/>
              <w:rPr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sz w:val="28"/>
                <w:lang w:eastAsia="ru-RU"/>
              </w:rPr>
              <w:t xml:space="preserve">- распределение полномочий по рассмотрению проектов с</w:t>
            </w:r>
            <w:r>
              <w:rPr>
                <w:sz w:val="28"/>
              </w:rPr>
            </w:r>
            <w:r/>
          </w:p>
          <w:p>
            <w:pPr>
              <w:pStyle w:val="563"/>
              <w:ind w:right="540"/>
              <w:jc w:val="right"/>
              <w:spacing w:lineRule="exact" w:line="298"/>
              <w:rPr>
                <w:sz w:val="28"/>
              </w:rPr>
            </w:pPr>
            <w:r>
              <w:rPr>
                <w:rStyle w:val="562"/>
                <w:sz w:val="28"/>
                <w:lang w:eastAsia="ru-RU"/>
              </w:rPr>
              <w:t xml:space="preserve">привлечением широкого круга экспертов (рабочие группы, коллегиальные органы);  - повышения квалификации сотрудников Администрации района, ответств енных за рассмотрение проектов (программы самообразования и повышения квалификации)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постоянно в течении года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Style w:val="562"/>
                <w:rFonts w:ascii="Times New Roman" w:hAnsi="Times New Roman" w:cs="Times New Roman" w:eastAsia="Times New Roman"/>
                <w:sz w:val="28"/>
                <w:lang w:eastAsia="ru-RU"/>
              </w:rPr>
              <w:t xml:space="preserve">Минимизация рисков нарушений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Все комплаенс-риски</w:t>
            </w:r>
            <w:r>
              <w:rPr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Консультирование сотрудников отделов, управлений по вопросам, связанным с соблюдением антимонопольного законодательства и антимонопольным комплаенсом</w:t>
            </w:r>
            <w:r>
              <w:rPr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 В течении года</w:t>
            </w:r>
            <w:r>
              <w:rPr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Консультант по правовой работе.</w:t>
            </w:r>
            <w:r>
              <w:rPr>
                <w:sz w:val="28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Консультирование сотрудников  осуществляются на постоянной  основе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Все комплаенс-риски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Подготовка ежегодного доклада об антимонопольном комплаенсе  управления, его утверждение коллегиальным органом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 Ежегодно, до </w:t>
            </w:r>
            <w:r>
              <w:rPr>
                <w:b w:val="false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10 февраля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отдел  экономики, прогнозирования и трудовых отношений  консультант по  правовой работе Администрации Беловского района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Ежегодный доклад подготовлен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306"/>
        </w:trPr>
        <w:tc>
          <w:tcPr>
            <w:tcW w:w="4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Риск наличия в действующих НПА положений, которые приводят и могут провести к недопущению.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Проведение анализа действующих НПА на предмет выявления рисков нарушения антимонопольного законодательствам при участии организаций и граждан, коллегионального органа в соответствии с Положением об антимонопольном комплаенсе.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До 1 января, следующего за отчётным.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консультант по правовой работе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 результате анализа действующих  НПА риски нарушения антимонопольного законодательства не выявлены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4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1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Риск нарушения антимонопольных требований к торгам, запросу котировок цен  на товары, запросу предложений при проведении закупок товаров, работ, услуг для  муниципальных нужд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35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Изучение нормативной правовой базы в сфере закупок (Федеральный закон от 5 апреля 2013 года №44-ФЗ «О контрактной системе  в сфере закупок, работ, услуг для обеспечения  государственных и муниципальных нужд»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 В течение года.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Консультант по правовой работе, отдел закупок.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  <w:tc>
          <w:tcPr>
            <w:tcW w:w="30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Ответственные сотрудники отделов на постоянной основе изучают изменения законодательства в сфере закупок.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Выводы:  Выполнены все 7 мероприятий плана по снижению комплаенс - рисков  Администрации Беловского района.</w:t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type w:val="nextPage"/>
      <w:pgSz w:w="16838" w:h="11906" w:orient="landscape"/>
      <w:pgMar w:top="510" w:right="822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link w:val="542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link w:val="543"/>
    <w:uiPriority w:val="9"/>
    <w:rPr>
      <w:rFonts w:ascii="Arial" w:hAnsi="Arial" w:cs="Arial" w:eastAsia="Arial"/>
      <w:sz w:val="34"/>
    </w:rPr>
  </w:style>
  <w:style w:type="character" w:styleId="388">
    <w:name w:val="Heading 3 Char"/>
    <w:link w:val="544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link w:val="545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link w:val="546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link w:val="547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link w:val="5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link w:val="549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link w:val="550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link w:val="559"/>
    <w:uiPriority w:val="10"/>
    <w:rPr>
      <w:sz w:val="48"/>
      <w:szCs w:val="48"/>
    </w:rPr>
  </w:style>
  <w:style w:type="character" w:styleId="396">
    <w:name w:val="Subtitle Char"/>
    <w:link w:val="557"/>
    <w:uiPriority w:val="11"/>
    <w:rPr>
      <w:sz w:val="24"/>
      <w:szCs w:val="24"/>
    </w:rPr>
  </w:style>
  <w:style w:type="character" w:styleId="397">
    <w:name w:val="Quote Char"/>
    <w:link w:val="556"/>
    <w:uiPriority w:val="29"/>
    <w:rPr>
      <w:i/>
    </w:rPr>
  </w:style>
  <w:style w:type="character" w:styleId="398">
    <w:name w:val="Intense Quote Char"/>
    <w:link w:val="558"/>
    <w:uiPriority w:val="30"/>
    <w:rPr>
      <w:i/>
    </w:rPr>
  </w:style>
  <w:style w:type="character" w:styleId="399">
    <w:name w:val="Header Char"/>
    <w:link w:val="554"/>
    <w:uiPriority w:val="99"/>
  </w:style>
  <w:style w:type="character" w:styleId="400">
    <w:name w:val="Footer Char"/>
    <w:link w:val="553"/>
    <w:uiPriority w:val="99"/>
  </w:style>
  <w:style w:type="table" w:styleId="401">
    <w:name w:val="Table Grid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2">
    <w:name w:val="Table Grid Light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1">
    <w:name w:val="List Table 7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2">
    <w:name w:val="List Table 7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3">
    <w:name w:val="List Table 7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4">
    <w:name w:val="List Table 7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5">
    <w:name w:val="List Table 7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6">
    <w:name w:val="Lined - Accent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Lined - Accent 1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08">
    <w:name w:val="Lined - Accent 2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09">
    <w:name w:val="Lined - Accent 3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0">
    <w:name w:val="Lined - Accent 4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1">
    <w:name w:val="Lined - Accent 5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2">
    <w:name w:val="Lined - Accent 6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3">
    <w:name w:val="Bordered &amp; Lined - Accent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4">
    <w:name w:val="Bordered &amp; Lined - Accent 1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5">
    <w:name w:val="Bordered &amp; Lined - Accent 2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6">
    <w:name w:val="Bordered &amp; Lined - Accent 3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7">
    <w:name w:val="Bordered &amp; Lined - Accent 4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8">
    <w:name w:val="Bordered &amp; Lined - Accent 5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9">
    <w:name w:val="Bordered &amp; Lined - Accent 6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0">
    <w:name w:val="Bordered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1">
    <w:name w:val="Bordered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2">
    <w:name w:val="Bordered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3">
    <w:name w:val="Bordered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24">
    <w:name w:val="Bordered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25">
    <w:name w:val="Bordered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26">
    <w:name w:val="Bordered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27">
    <w:name w:val="Hyperlink"/>
    <w:uiPriority w:val="99"/>
    <w:unhideWhenUsed/>
    <w:rPr>
      <w:color w:val="0000FF" w:themeColor="hyperlink"/>
      <w:u w:val="single"/>
    </w:rPr>
  </w:style>
  <w:style w:type="paragraph" w:styleId="528">
    <w:name w:val="footnote text"/>
    <w:basedOn w:val="541"/>
    <w:link w:val="529"/>
    <w:uiPriority w:val="99"/>
    <w:semiHidden/>
    <w:unhideWhenUsed/>
    <w:rPr>
      <w:sz w:val="18"/>
    </w:rPr>
    <w:pPr>
      <w:spacing w:lineRule="auto" w:line="240" w:after="40"/>
    </w:pPr>
  </w:style>
  <w:style w:type="character" w:styleId="529">
    <w:name w:val="Footnote Text Char"/>
    <w:link w:val="528"/>
    <w:uiPriority w:val="99"/>
    <w:rPr>
      <w:sz w:val="18"/>
    </w:rPr>
  </w:style>
  <w:style w:type="character" w:styleId="530">
    <w:name w:val="footnote reference"/>
    <w:uiPriority w:val="99"/>
    <w:unhideWhenUsed/>
    <w:rPr>
      <w:vertAlign w:val="superscript"/>
    </w:rPr>
  </w:style>
  <w:style w:type="paragraph" w:styleId="531">
    <w:name w:val="toc 1"/>
    <w:basedOn w:val="541"/>
    <w:next w:val="541"/>
    <w:uiPriority w:val="39"/>
    <w:unhideWhenUsed/>
    <w:pPr>
      <w:ind w:left="0" w:right="0" w:firstLine="0"/>
      <w:spacing w:after="57"/>
    </w:pPr>
  </w:style>
  <w:style w:type="paragraph" w:styleId="532">
    <w:name w:val="toc 2"/>
    <w:basedOn w:val="541"/>
    <w:next w:val="541"/>
    <w:uiPriority w:val="39"/>
    <w:unhideWhenUsed/>
    <w:pPr>
      <w:ind w:left="283" w:right="0" w:firstLine="0"/>
      <w:spacing w:after="57"/>
    </w:pPr>
  </w:style>
  <w:style w:type="paragraph" w:styleId="533">
    <w:name w:val="toc 3"/>
    <w:basedOn w:val="541"/>
    <w:next w:val="541"/>
    <w:uiPriority w:val="39"/>
    <w:unhideWhenUsed/>
    <w:pPr>
      <w:ind w:left="567" w:right="0" w:firstLine="0"/>
      <w:spacing w:after="57"/>
    </w:pPr>
  </w:style>
  <w:style w:type="paragraph" w:styleId="534">
    <w:name w:val="toc 4"/>
    <w:basedOn w:val="541"/>
    <w:next w:val="541"/>
    <w:uiPriority w:val="39"/>
    <w:unhideWhenUsed/>
    <w:pPr>
      <w:ind w:left="850" w:right="0" w:firstLine="0"/>
      <w:spacing w:after="57"/>
    </w:pPr>
  </w:style>
  <w:style w:type="paragraph" w:styleId="535">
    <w:name w:val="toc 5"/>
    <w:basedOn w:val="541"/>
    <w:next w:val="541"/>
    <w:uiPriority w:val="39"/>
    <w:unhideWhenUsed/>
    <w:pPr>
      <w:ind w:left="1134" w:right="0" w:firstLine="0"/>
      <w:spacing w:after="57"/>
    </w:pPr>
  </w:style>
  <w:style w:type="paragraph" w:styleId="536">
    <w:name w:val="toc 6"/>
    <w:basedOn w:val="541"/>
    <w:next w:val="541"/>
    <w:uiPriority w:val="39"/>
    <w:unhideWhenUsed/>
    <w:pPr>
      <w:ind w:left="1417" w:right="0" w:firstLine="0"/>
      <w:spacing w:after="57"/>
    </w:pPr>
  </w:style>
  <w:style w:type="paragraph" w:styleId="537">
    <w:name w:val="toc 7"/>
    <w:basedOn w:val="541"/>
    <w:next w:val="541"/>
    <w:uiPriority w:val="39"/>
    <w:unhideWhenUsed/>
    <w:pPr>
      <w:ind w:left="1701" w:right="0" w:firstLine="0"/>
      <w:spacing w:after="57"/>
    </w:pPr>
  </w:style>
  <w:style w:type="paragraph" w:styleId="538">
    <w:name w:val="toc 8"/>
    <w:basedOn w:val="541"/>
    <w:next w:val="541"/>
    <w:uiPriority w:val="39"/>
    <w:unhideWhenUsed/>
    <w:pPr>
      <w:ind w:left="1984" w:right="0" w:firstLine="0"/>
      <w:spacing w:after="57"/>
    </w:pPr>
  </w:style>
  <w:style w:type="paragraph" w:styleId="539">
    <w:name w:val="toc 9"/>
    <w:basedOn w:val="541"/>
    <w:next w:val="541"/>
    <w:uiPriority w:val="39"/>
    <w:unhideWhenUsed/>
    <w:pPr>
      <w:ind w:left="2268" w:right="0" w:firstLine="0"/>
      <w:spacing w:after="57"/>
    </w:pPr>
  </w:style>
  <w:style w:type="paragraph" w:styleId="540">
    <w:name w:val="TOC Heading"/>
    <w:uiPriority w:val="39"/>
    <w:unhideWhenUsed/>
  </w:style>
  <w:style w:type="paragraph" w:styleId="541" w:default="1">
    <w:name w:val="Normal"/>
    <w:qFormat/>
  </w:style>
  <w:style w:type="paragraph" w:styleId="542">
    <w:name w:val="Heading 1"/>
    <w:basedOn w:val="541"/>
    <w:next w:val="54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43">
    <w:name w:val="Heading 2"/>
    <w:basedOn w:val="541"/>
    <w:next w:val="54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44">
    <w:name w:val="Heading 3"/>
    <w:basedOn w:val="541"/>
    <w:next w:val="54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45">
    <w:name w:val="Heading 4"/>
    <w:basedOn w:val="541"/>
    <w:next w:val="54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46">
    <w:name w:val="Heading 5"/>
    <w:basedOn w:val="541"/>
    <w:next w:val="54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47">
    <w:name w:val="Heading 6"/>
    <w:basedOn w:val="541"/>
    <w:next w:val="54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48">
    <w:name w:val="Heading 7"/>
    <w:basedOn w:val="541"/>
    <w:next w:val="54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49">
    <w:name w:val="Heading 8"/>
    <w:basedOn w:val="541"/>
    <w:next w:val="54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50">
    <w:name w:val="Heading 9"/>
    <w:basedOn w:val="541"/>
    <w:next w:val="54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2" w:default="1">
    <w:name w:val="No List"/>
    <w:uiPriority w:val="99"/>
    <w:semiHidden/>
    <w:unhideWhenUsed/>
  </w:style>
  <w:style w:type="paragraph" w:styleId="553">
    <w:name w:val="Footer"/>
    <w:basedOn w:val="5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4">
    <w:name w:val="Header"/>
    <w:basedOn w:val="5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5">
    <w:name w:val="No Spacing"/>
    <w:basedOn w:val="541"/>
    <w:qFormat/>
    <w:uiPriority w:val="1"/>
    <w:pPr>
      <w:spacing w:lineRule="auto" w:line="240" w:after="0"/>
    </w:pPr>
  </w:style>
  <w:style w:type="paragraph" w:styleId="556">
    <w:name w:val="Quote"/>
    <w:basedOn w:val="541"/>
    <w:next w:val="54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57">
    <w:name w:val="Subtitle"/>
    <w:basedOn w:val="541"/>
    <w:next w:val="54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58">
    <w:name w:val="Intense Quote"/>
    <w:basedOn w:val="541"/>
    <w:next w:val="54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59">
    <w:name w:val="Title"/>
    <w:basedOn w:val="541"/>
    <w:next w:val="54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60">
    <w:name w:val="List Paragraph"/>
    <w:basedOn w:val="541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character" w:styleId="562">
    <w:name w:val="Основной текст2"/>
    <w:link w:val="558"/>
    <w:rPr>
      <w:color w:val="000000"/>
      <w:spacing w:val="0"/>
      <w:position w:val="0"/>
      <w:sz w:val="24"/>
      <w:szCs w:val="24"/>
      <w:u w:val="none"/>
      <w:shd w:val="clear" w:color="auto" w:fill="FFFFFF"/>
      <w:lang w:val="ru-RU" w:bidi="ar-SA" w:eastAsia="en-US"/>
    </w:rPr>
  </w:style>
  <w:style w:type="paragraph" w:styleId="563">
    <w:name w:val="Основной текст3"/>
    <w:basedOn w:val="55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shd w:val="clear" w:color="auto" w:fill="FFFFFF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240" w:after="60" w:afterAutospacing="0" w:before="30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2024-01-23T13:56:55Z</dcterms:modified>
</cp:coreProperties>
</file>