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right"/>
        <w:rPr>
          <w:szCs w:val="28"/>
        </w:rPr>
      </w:pPr>
      <w:r>
        <w:rPr>
          <w:szCs w:val="28"/>
        </w:rPr>
        <w:t xml:space="preserve">Приложение 1</w:t>
      </w:r>
      <w:r/>
    </w:p>
    <w:p>
      <w:pPr>
        <w:pStyle w:val="558"/>
        <w:jc w:val="right"/>
        <w:rPr>
          <w:szCs w:val="28"/>
        </w:rPr>
      </w:pPr>
      <w:r>
        <w:rPr>
          <w:szCs w:val="28"/>
        </w:rPr>
      </w:r>
      <w:r/>
    </w:p>
    <w:p>
      <w:pPr>
        <w:pStyle w:val="558"/>
        <w:jc w:val="right"/>
        <w:rPr>
          <w:szCs w:val="28"/>
        </w:rPr>
      </w:pPr>
      <w:r>
        <w:rPr>
          <w:szCs w:val="28"/>
        </w:rPr>
      </w:r>
      <w:r/>
    </w:p>
    <w:p>
      <w:pPr>
        <w:pStyle w:val="558"/>
        <w:ind w:firstLine="902"/>
        <w:jc w:val="center"/>
        <w:tabs>
          <w:tab w:val="left" w:pos="6390" w:leader="none"/>
        </w:tabs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  <w:t xml:space="preserve">Перечень целевых показателей по содействию развитию конкуренции и обеспечению условий для благоприятного инвестиционного климата в Курской области </w:t>
      </w:r>
      <w:r/>
    </w:p>
    <w:p>
      <w:pPr>
        <w:pStyle w:val="558"/>
        <w:ind w:firstLine="902"/>
        <w:jc w:val="center"/>
        <w:tabs>
          <w:tab w:val="left" w:pos="6390" w:leader="none"/>
        </w:tabs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</w:r>
      <w:r/>
    </w:p>
    <w:p>
      <w:pPr>
        <w:pStyle w:val="558"/>
        <w:ind w:firstLine="902"/>
        <w:jc w:val="center"/>
        <w:tabs>
          <w:tab w:val="left" w:pos="6390" w:leader="none"/>
        </w:tabs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  <w:t xml:space="preserve">Администрация </w:t>
      </w:r>
      <w:r>
        <w:rPr>
          <w:rFonts w:eastAsia="Times New Roman"/>
          <w:b/>
          <w:szCs w:val="28"/>
          <w:lang w:eastAsia="zh-CN"/>
        </w:rPr>
        <w:t xml:space="preserve">_Беловского района__</w:t>
      </w:r>
      <w:r>
        <w:rPr>
          <w:rFonts w:eastAsia="Times New Roman"/>
          <w:b/>
          <w:szCs w:val="28"/>
          <w:lang w:eastAsia="zh-CN"/>
        </w:rPr>
        <w:t xml:space="preserve"> Курской области</w:t>
      </w:r>
      <w:r/>
    </w:p>
    <w:p>
      <w:pPr>
        <w:pStyle w:val="558"/>
        <w:ind w:firstLine="902"/>
        <w:jc w:val="center"/>
        <w:tabs>
          <w:tab w:val="left" w:pos="6390" w:leader="none"/>
        </w:tabs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</w:r>
      <w:r/>
    </w:p>
    <w:tbl>
      <w:tblPr>
        <w:tblW w:w="14719" w:type="dxa"/>
        <w:tblInd w:w="-1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8"/>
        <w:gridCol w:w="5139"/>
        <w:gridCol w:w="2269"/>
        <w:gridCol w:w="3261"/>
        <w:gridCol w:w="3402"/>
      </w:tblGrid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648" w:type="dxa"/>
            <w:vAlign w:val="center"/>
            <w:vMerge w:val="restart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№</w:t>
            </w:r>
            <w:r>
              <w:rPr>
                <w:b/>
              </w:rPr>
            </w:r>
          </w:p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п\п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5139" w:type="dxa"/>
            <w:vAlign w:val="center"/>
            <w:vMerge w:val="restart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Наименование показател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я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269" w:type="dxa"/>
            <w:vAlign w:val="center"/>
            <w:vMerge w:val="restart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Ед.</w:t>
            </w:r>
            <w:r>
              <w:rPr>
                <w:b/>
              </w:rPr>
            </w:r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изм.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3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Це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левое значение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</w:r>
            <w:r>
              <w:rPr>
                <w:b/>
              </w:rPr>
            </w:r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48" w:type="dxa"/>
            <w:vAlign w:val="center"/>
            <w:vMerge w:val="continue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bCs/>
                <w:szCs w:val="28"/>
                <w:lang w:eastAsia="zh-CN"/>
              </w:rPr>
            </w:pPr>
            <w:r>
              <w:rPr>
                <w:rFonts w:eastAsia="Times New Roman"/>
                <w:bCs/>
                <w:szCs w:val="28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5139" w:type="dxa"/>
            <w:vAlign w:val="center"/>
            <w:vMerge w:val="continue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Cs/>
                <w:szCs w:val="28"/>
                <w:lang w:eastAsia="zh-CN"/>
              </w:rPr>
            </w:pPr>
            <w:r>
              <w:rPr>
                <w:rFonts w:eastAsia="Times New Roman"/>
                <w:bCs/>
                <w:szCs w:val="28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Cs/>
                <w:szCs w:val="28"/>
                <w:lang w:eastAsia="zh-CN"/>
              </w:rPr>
            </w:pPr>
            <w:r>
              <w:rPr>
                <w:rFonts w:eastAsia="Times New Roman"/>
                <w:bCs/>
                <w:szCs w:val="28"/>
                <w:lang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на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202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2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 г.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на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202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3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  <w:t xml:space="preserve"> г.</w:t>
            </w:r>
            <w:r>
              <w:rPr>
                <w:rFonts w:eastAsia="Times New Roman"/>
                <w:b/>
                <w:bCs/>
                <w:szCs w:val="28"/>
                <w:lang w:eastAsia="zh-CN"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39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Индекс физического объема инвестиций в основной капитал (за исключением бюджетных средств)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45,2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</w:r>
            <w:r/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56,0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</w:pPr>
            <w:r>
              <w:rPr>
                <w:rFonts w:eastAsia="Times New Roman"/>
                <w:szCs w:val="28"/>
                <w:lang w:eastAsia="zh-CN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39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Число субъектов малого и среднего предпринимательства, осуществляющих деятельность на территории муницип</w:t>
            </w:r>
            <w:r>
              <w:rPr>
                <w:rFonts w:eastAsia="Times New Roman"/>
                <w:szCs w:val="28"/>
                <w:lang w:eastAsia="zh-CN"/>
              </w:rPr>
              <w:t xml:space="preserve">ального образования (г</w:t>
            </w:r>
            <w:r>
              <w:rPr>
                <w:rFonts w:eastAsia="Times New Roman"/>
                <w:szCs w:val="28"/>
                <w:lang w:eastAsia="zh-CN"/>
              </w:rPr>
              <w:t xml:space="preserve">ородского округа) Курской области (единиц на 10 тыс. человек населения)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единиц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243,5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</w:r>
            <w:r/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</w:r>
            <w:r>
              <w:rPr>
                <w:rFonts w:eastAsia="Times New Roman"/>
                <w:szCs w:val="28"/>
                <w:lang w:eastAsia="zh-CN"/>
              </w:rPr>
            </w:r>
            <w:r/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244,1</w:t>
            </w:r>
            <w:r>
              <w:rPr>
                <w:rFonts w:eastAsia="Times New Roman"/>
                <w:szCs w:val="28"/>
                <w:lang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139" w:type="dxa"/>
            <w:vAlign w:val="center"/>
            <w:textDirection w:val="lrTb"/>
            <w:noWrap w:val="false"/>
          </w:tcPr>
          <w:p>
            <w:pPr>
              <w:pStyle w:val="558"/>
              <w:jc w:val="both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Оборот средних и малых предприятий, с учётом</w:t>
            </w:r>
            <w:r>
              <w:rPr>
                <w:rFonts w:eastAsia="Times New Roman"/>
                <w:szCs w:val="28"/>
                <w:lang w:eastAsia="zh-CN"/>
              </w:rPr>
              <w:t xml:space="preserve"> микропредприятий, на душу населения на территории муниципального образования (городского округ</w:t>
            </w:r>
            <w:r>
              <w:rPr>
                <w:rFonts w:eastAsia="Times New Roman"/>
                <w:szCs w:val="28"/>
                <w:lang w:eastAsia="zh-CN"/>
              </w:rPr>
              <w:t xml:space="preserve">а) Курской </w:t>
            </w:r>
            <w:r>
              <w:rPr>
                <w:rFonts w:eastAsia="Times New Roman"/>
                <w:szCs w:val="28"/>
                <w:lang w:eastAsia="zh-CN"/>
              </w:rPr>
              <w:t xml:space="preserve">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29,6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</w:r>
            <w:r/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</w:r>
            <w:r>
              <w:rPr>
                <w:rFonts w:eastAsia="Times New Roman"/>
                <w:szCs w:val="28"/>
                <w:lang w:eastAsia="zh-CN"/>
              </w:rPr>
            </w:r>
            <w:r/>
          </w:p>
          <w:p>
            <w:pPr>
              <w:pStyle w:val="558"/>
              <w:jc w:val="center"/>
              <w:tabs>
                <w:tab w:val="left" w:pos="6390" w:leader="none"/>
              </w:tabs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 xml:space="preserve">30,2 </w:t>
            </w:r>
            <w:r>
              <w:rPr>
                <w:rFonts w:eastAsia="Times New Roman"/>
                <w:szCs w:val="28"/>
                <w:lang w:eastAsia="zh-CN"/>
              </w:rPr>
            </w:r>
            <w:r/>
          </w:p>
        </w:tc>
      </w:tr>
    </w:tbl>
    <w:sectPr>
      <w:footnotePr/>
      <w:type w:val="nextPage"/>
      <w:pgSz w:w="16838" w:h="11906" w:orient="landscape"/>
      <w:pgMar w:top="510" w:right="822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8"/>
      <w:lang w:val="ru-RU" w:bidi="ar-SA" w:eastAsia="en-US"/>
    </w:r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table" w:styleId="562">
    <w:name w:val="Сетка таблицы"/>
    <w:basedOn w:val="560"/>
    <w:next w:val="562"/>
    <w:link w:val="558"/>
    <w:tblPr/>
  </w:style>
  <w:style w:type="character" w:styleId="563" w:default="1">
    <w:name w:val="Default Paragraph Font"/>
    <w:uiPriority w:val="1"/>
    <w:semiHidden/>
    <w:unhideWhenUsed/>
  </w:style>
  <w:style w:type="numbering" w:styleId="564" w:default="1">
    <w:name w:val="No List"/>
    <w:uiPriority w:val="99"/>
    <w:semiHidden/>
    <w:unhideWhenUsed/>
  </w:style>
  <w:style w:type="paragraph" w:styleId="565" w:default="1">
    <w:name w:val="Normal"/>
    <w:qFormat/>
  </w:style>
  <w:style w:type="table" w:styleId="5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2022-04-21T06:50:31Z</dcterms:modified>
</cp:coreProperties>
</file>