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right"/>
        <w:spacing w:after="0"/>
        <w:widowControl w:val="off"/>
        <w:rPr>
          <w:szCs w:val="28"/>
        </w:rPr>
      </w:pPr>
      <w:r>
        <w:rPr>
          <w:szCs w:val="28"/>
        </w:rPr>
      </w:r>
      <w:r/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11337" cy="1058483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11336" cy="1058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71.8pt;height:83.3pt;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578"/>
        <w:rPr>
          <w:rFonts w:ascii="Times New Roman" w:hAnsi="Times New Roman" w:cs="Times New Roman" w:eastAsia="Times New Roman"/>
          <w:b/>
          <w:sz w:val="32"/>
          <w:szCs w:val="36"/>
        </w:rPr>
      </w:pPr>
      <w:r>
        <w:rPr>
          <w:rFonts w:ascii="Times New Roman" w:hAnsi="Times New Roman" w:cs="Times New Roman" w:eastAsia="Times New Roman"/>
          <w:sz w:val="32"/>
        </w:rPr>
      </w:r>
      <w:r>
        <w:rPr>
          <w:rFonts w:ascii="Times New Roman" w:hAnsi="Times New Roman" w:cs="Times New Roman" w:eastAsia="Times New Roman"/>
          <w:sz w:val="32"/>
          <w:szCs w:val="36"/>
        </w:rPr>
        <w:t xml:space="preserve">РЕВИЗИОННАЯ КОМИССИЯ</w:t>
      </w:r>
      <w:r>
        <w:rPr>
          <w:rFonts w:ascii="Times New Roman" w:hAnsi="Times New Roman" w:cs="Times New Roman" w:eastAsia="Times New Roman"/>
          <w:sz w:val="32"/>
        </w:rPr>
      </w:r>
      <w:r/>
    </w:p>
    <w:p>
      <w:pPr>
        <w:pStyle w:val="561"/>
        <w:jc w:val="center"/>
        <w:rPr>
          <w:rFonts w:ascii="Times New Roman" w:hAnsi="Times New Roman" w:cs="Times New Roman" w:eastAsia="Times New Roman"/>
          <w:b/>
          <w:sz w:val="32"/>
          <w:szCs w:val="36"/>
        </w:rPr>
      </w:pPr>
      <w:r>
        <w:rPr>
          <w:rFonts w:ascii="Times New Roman" w:hAnsi="Times New Roman" w:cs="Times New Roman" w:eastAsia="Times New Roman"/>
          <w:b/>
          <w:sz w:val="32"/>
          <w:szCs w:val="36"/>
        </w:rPr>
        <w:t xml:space="preserve">БЕЛОВСКОГО РАЙОНА  КУРСКОЙ ОБЛАСТИ</w:t>
      </w:r>
      <w:r>
        <w:rPr>
          <w:rFonts w:ascii="Times New Roman" w:hAnsi="Times New Roman" w:cs="Times New Roman" w:eastAsia="Times New Roman"/>
          <w:b/>
          <w:sz w:val="32"/>
          <w:szCs w:val="36"/>
        </w:rPr>
      </w:r>
      <w:r/>
    </w:p>
    <w:p>
      <w:pPr>
        <w:pStyle w:val="561"/>
        <w:jc w:val="center"/>
        <w:spacing w:lineRule="auto" w:line="240"/>
        <w:rPr>
          <w:rFonts w:ascii="Times New Roman" w:hAnsi="Times New Roman" w:cs="Times New Roman" w:eastAsia="Times New Roman"/>
          <w:b/>
          <w:sz w:val="32"/>
        </w:rPr>
      </w:pPr>
      <w:r>
        <w:rPr>
          <w:rFonts w:ascii="Times New Roman" w:hAnsi="Times New Roman" w:cs="Times New Roman" w:eastAsia="Times New Roman"/>
          <w:b/>
          <w:sz w:val="32"/>
          <w:szCs w:val="40"/>
        </w:rPr>
        <w:t xml:space="preserve"> </w:t>
      </w:r>
      <w:r>
        <w:rPr>
          <w:rFonts w:ascii="Times New Roman" w:hAnsi="Times New Roman" w:cs="Times New Roman" w:eastAsia="Times New Roman"/>
          <w:b/>
          <w:sz w:val="32"/>
          <w:szCs w:val="40"/>
        </w:rPr>
        <w:t xml:space="preserve">ПОСТАНОВЛЕНИЕ</w:t>
      </w:r>
      <w:r>
        <w:rPr>
          <w:rFonts w:ascii="Times New Roman" w:hAnsi="Times New Roman" w:cs="Times New Roman" w:eastAsia="Times New Roman"/>
          <w:b/>
          <w:sz w:val="32"/>
        </w:rPr>
      </w:r>
      <w:r/>
    </w:p>
    <w:p>
      <w:pPr>
        <w:pStyle w:val="561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  10.03.2021г. № 1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1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2"/>
        </w:rPr>
        <w:t xml:space="preserve">Курская область, сл. Белая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561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1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t xml:space="preserve">Об утверждении Стандарта внешнего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1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t xml:space="preserve">муниципального финансового контроля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1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t xml:space="preserve">Ревизионной комиссии Беловского района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1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t xml:space="preserve">Курской области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8"/>
          <w:szCs w:val="16"/>
        </w:rPr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</w:r>
      <w:r/>
    </w:p>
    <w:p>
      <w:pPr>
        <w:pStyle w:val="561"/>
        <w:ind w:left="0" w:right="0" w:firstLine="54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 w:eastAsia="Times New Roman"/>
          <w:sz w:val="28"/>
        </w:rPr>
        <w:fldChar w:fldCharType="begin"/>
      </w:r>
      <w:r>
        <w:rPr>
          <w:rFonts w:ascii="Times New Roman" w:hAnsi="Times New Roman" w:cs="Times New Roman" w:eastAsia="Times New Roman"/>
          <w:sz w:val="28"/>
        </w:rPr>
        <w:instrText xml:space="preserve"> HYPERLINK "consultantplus://offline/ref=5C83EDFC15BF8FE3248286CE4E199E4FF3F8B9B335C779C2BD93EC3314D503D97030449834CA14A7Y7i5J"</w:instrText>
      </w:r>
      <w:r>
        <w:rPr>
          <w:rFonts w:ascii="Times New Roman" w:hAnsi="Times New Roman" w:cs="Times New Roman" w:eastAsia="Times New Roman"/>
          <w:sz w:val="28"/>
        </w:rPr>
        <w:fldChar w:fldCharType="separate"/>
      </w:r>
      <w:r>
        <w:rPr>
          <w:rStyle w:val="577"/>
          <w:rFonts w:ascii="Times New Roman" w:hAnsi="Times New Roman" w:cs="Times New Roman" w:eastAsia="Times New Roman"/>
          <w:color w:val="000000"/>
          <w:sz w:val="28"/>
          <w:szCs w:val="28"/>
          <w:u w:val="none"/>
        </w:rPr>
        <w:t xml:space="preserve">законом</w:t>
      </w:r>
      <w:r>
        <w:rPr>
          <w:rFonts w:ascii="Times New Roman" w:hAnsi="Times New Roman" w:cs="Times New Roman" w:eastAsia="Times New Roman"/>
          <w:sz w:val="28"/>
        </w:rPr>
        <w:fldChar w:fldCharType="end"/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РФ 07.02.2011г. N 6-ФЗ «Об общих принципах организации и деятельности контрольно-счетных органов субъектов РФ и муниципальных образований»,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fldChar w:fldCharType="begin"/>
      </w:r>
      <w:r>
        <w:rPr>
          <w:rFonts w:ascii="Times New Roman" w:hAnsi="Times New Roman" w:cs="Times New Roman" w:eastAsia="Times New Roman"/>
          <w:sz w:val="28"/>
        </w:rPr>
        <w:instrText xml:space="preserve"> HYPERLINK "consultantplus://offline/ref=5C83EDFC15BF8FE3248298C35875C443F5F2E7BC31C87691E1CCB76E43DC098E377F1DDA70C715A5773848Y1iEJ"</w:instrText>
      </w:r>
      <w:r>
        <w:rPr>
          <w:rFonts w:ascii="Times New Roman" w:hAnsi="Times New Roman" w:cs="Times New Roman" w:eastAsia="Times New Roman"/>
          <w:sz w:val="28"/>
        </w:rPr>
        <w:fldChar w:fldCharType="separate"/>
      </w:r>
      <w:r>
        <w:rPr>
          <w:rStyle w:val="577"/>
          <w:rFonts w:ascii="Times New Roman" w:hAnsi="Times New Roman" w:cs="Times New Roman" w:eastAsia="Times New Roman"/>
          <w:color w:val="000000"/>
          <w:sz w:val="28"/>
          <w:szCs w:val="28"/>
          <w:u w:val="none"/>
        </w:rPr>
        <w:t xml:space="preserve">Решением</w:t>
      </w:r>
      <w:r>
        <w:rPr>
          <w:rFonts w:ascii="Times New Roman" w:hAnsi="Times New Roman" w:cs="Times New Roman" w:eastAsia="Times New Roman"/>
          <w:sz w:val="28"/>
        </w:rPr>
        <w:fldChar w:fldCharType="end"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Представительного Собрания Беловского района Курской области от  29.10.2019г. № 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VI-2/2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оложения Ревизионной комиссии Беловского района Курской области» ПОСТАНОВЛЯЮ :</w:t>
      </w:r>
      <w:r/>
    </w:p>
    <w:p>
      <w:pPr>
        <w:ind w:left="0" w:right="0" w:firstLine="283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1. Утвердить Стандарт внешнего муниципального финансового контроля </w:t>
      </w:r>
      <w:r>
        <w:rPr>
          <w:rStyle w:val="572"/>
          <w:rFonts w:ascii="Times New Roman" w:hAnsi="Times New Roman" w:cs="Times New Roman" w:eastAsia="Times New Roman"/>
          <w:b w:val="false"/>
          <w:sz w:val="28"/>
          <w:szCs w:val="26"/>
        </w:rPr>
        <w:t xml:space="preserve">«Участие в пределах полномочий </w:t>
      </w:r>
      <w:r>
        <w:rPr>
          <w:rStyle w:val="572"/>
          <w:rFonts w:ascii="Times New Roman" w:hAnsi="Times New Roman" w:cs="Times New Roman" w:eastAsia="Times New Roman"/>
          <w:b w:val="false"/>
          <w:sz w:val="28"/>
          <w:szCs w:val="26"/>
        </w:rPr>
        <w:t xml:space="preserve">в мероприятиях, направленных на противодействие коррупции» </w:t>
      </w:r>
      <w:r>
        <w:rPr>
          <w:rStyle w:val="572"/>
          <w:rFonts w:ascii="Times New Roman" w:hAnsi="Times New Roman" w:cs="Times New Roman" w:eastAsia="Times New Roman"/>
          <w:b w:val="false"/>
          <w:sz w:val="28"/>
          <w:szCs w:val="26"/>
        </w:rPr>
        <w:t xml:space="preserve">Ревизионной комиссии </w:t>
      </w:r>
      <w:r>
        <w:rPr>
          <w:rStyle w:val="572"/>
          <w:rFonts w:ascii="Times New Roman" w:hAnsi="Times New Roman" w:cs="Times New Roman" w:eastAsia="Times New Roman"/>
          <w:b w:val="false"/>
          <w:sz w:val="28"/>
          <w:szCs w:val="26"/>
        </w:rPr>
        <w:t xml:space="preserve">Беловского района Курской области (Приложение №1).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1"/>
        <w:ind w:left="0" w:right="0" w:firstLine="283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Опубликовать данное постановление  в сети Интернет на официальном сайте муниципального района «Беловский район» Курской области (</w:t>
      </w:r>
      <w:r>
        <w:rPr>
          <w:rFonts w:ascii="Times New Roman" w:hAnsi="Times New Roman" w:cs="Times New Roman" w:eastAsia="Times New Roman"/>
          <w:sz w:val="28"/>
        </w:rPr>
        <w:fldChar w:fldCharType="begin"/>
      </w:r>
      <w:r>
        <w:rPr>
          <w:rFonts w:ascii="Times New Roman" w:hAnsi="Times New Roman" w:cs="Times New Roman" w:eastAsia="Times New Roman"/>
          <w:sz w:val="28"/>
        </w:rPr>
        <w:instrText xml:space="preserve"> HYPERLINK "http://bel.rkursk.ru/"</w:instrText>
      </w:r>
      <w:r>
        <w:rPr>
          <w:rFonts w:ascii="Times New Roman" w:hAnsi="Times New Roman" w:cs="Times New Roman" w:eastAsia="Times New Roman"/>
          <w:sz w:val="28"/>
        </w:rPr>
        <w:fldChar w:fldCharType="separate"/>
      </w:r>
      <w:r>
        <w:rPr>
          <w:rStyle w:val="577"/>
          <w:rFonts w:ascii="Times New Roman" w:hAnsi="Times New Roman" w:cs="Times New Roman" w:eastAsia="Times New Roman"/>
          <w:sz w:val="28"/>
          <w:szCs w:val="28"/>
          <w:lang w:val="en-US"/>
        </w:rPr>
        <w:t xml:space="preserve">Http</w:t>
      </w:r>
      <w:r>
        <w:rPr>
          <w:rStyle w:val="577"/>
          <w:rFonts w:ascii="Times New Roman" w:hAnsi="Times New Roman" w:cs="Times New Roman" w:eastAsia="Times New Roman"/>
          <w:sz w:val="28"/>
          <w:szCs w:val="28"/>
        </w:rPr>
        <w:t xml:space="preserve">://</w:t>
      </w:r>
      <w:r>
        <w:rPr>
          <w:rStyle w:val="577"/>
          <w:rFonts w:ascii="Times New Roman" w:hAnsi="Times New Roman" w:cs="Times New Roman" w:eastAsia="Times New Roman"/>
          <w:sz w:val="28"/>
          <w:szCs w:val="28"/>
          <w:lang w:val="en-US"/>
        </w:rPr>
        <w:t xml:space="preserve">bel</w:t>
      </w:r>
      <w:r>
        <w:rPr>
          <w:rStyle w:val="577"/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Style w:val="577"/>
          <w:rFonts w:ascii="Times New Roman" w:hAnsi="Times New Roman" w:cs="Times New Roman" w:eastAsia="Times New Roman"/>
          <w:sz w:val="28"/>
          <w:szCs w:val="28"/>
          <w:lang w:val="en-US"/>
        </w:rPr>
        <w:t xml:space="preserve">rkursk</w:t>
      </w:r>
      <w:r>
        <w:rPr>
          <w:rStyle w:val="577"/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Style w:val="577"/>
          <w:rFonts w:ascii="Times New Roman" w:hAnsi="Times New Roman" w:cs="Times New Roman" w:eastAsia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 w:cs="Times New Roman" w:eastAsia="Times New Roman"/>
          <w:sz w:val="28"/>
        </w:rPr>
        <w:fldChar w:fldCharType="end"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3. Контроль за исполнением настоящего постановления оставляю за собой.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1"/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Настоящее постановление вступает в силу со дня подписания и распространяется на правоотношения, возникшие с 1 января 2021 года.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1"/>
        <w:ind w:left="0" w:right="0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Председатель Ревизионной комиссии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1"/>
        <w:ind w:left="0" w:right="0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Беловского района   Курской области                                     Е.В. Звягинцева</w:t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</w:t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</w:t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</w:t>
      </w:r>
      <w:r>
        <w:t xml:space="preserve">   </w:t>
      </w:r>
      <w:bookmarkStart w:id="0" w:name="_Toc113677267"/>
      <w:r>
        <w:rPr>
          <w:rFonts w:ascii="Times New Roman" w:hAnsi="Times New Roman"/>
          <w:sz w:val="28"/>
          <w:szCs w:val="28"/>
        </w:rPr>
        <w:t xml:space="preserve">Приложение №1 </w:t>
      </w:r>
      <w:r/>
    </w:p>
    <w:p>
      <w:pPr>
        <w:ind w:firstLine="709"/>
        <w:jc w:val="right"/>
        <w:spacing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Ревизионной комиссии</w:t>
      </w:r>
      <w:r/>
    </w:p>
    <w:p>
      <w:pPr>
        <w:ind w:firstLine="709"/>
        <w:jc w:val="center"/>
        <w:spacing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Беловского  района Курской области</w:t>
      </w:r>
      <w:r/>
    </w:p>
    <w:p>
      <w:pPr>
        <w:ind w:firstLine="709"/>
        <w:jc w:val="center"/>
        <w:spacing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от 10.03.2021г. №1</w:t>
      </w:r>
      <w:r/>
    </w:p>
    <w:p>
      <w:pPr>
        <w:ind w:firstLine="709"/>
        <w:jc w:val="center"/>
        <w:spacing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lineRule="auto" w:line="240" w:after="0"/>
        <w:widowControl w:val="off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СТАНДАРТ ВНЕШНЕГО МУНИЦИПАЛЬНОГО</w:t>
      </w:r>
      <w:r/>
    </w:p>
    <w:p>
      <w:pPr>
        <w:ind w:firstLine="709"/>
        <w:jc w:val="center"/>
        <w:spacing w:lineRule="auto" w:line="240" w:after="0"/>
        <w:widowControl w:val="off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ФИНАНСОВОГО КОНТРОЛЯ</w:t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5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</w:r>
      <w:r>
        <w:rPr>
          <w:rFonts w:ascii="Times New Roman" w:hAnsi="Times New Roman" w:cs="Times New Roman"/>
          <w:bCs/>
          <w:sz w:val="28"/>
          <w:szCs w:val="26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pStyle w:val="573"/>
        <w:ind w:firstLine="567"/>
        <w:spacing w:lineRule="auto" w:line="240"/>
        <w:widowControl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УЧАСТИЕ В ПРЕДЕЛАХ ПОЛНОМОЧИЙ В МЕРОПРИЯТИЯХ, НАПРАВЛЕННЫХ НА ПРОТИВОДЕЙСТВИЕ КОРРУКЦИИ РЕВИЗИОННОЙ КОМИССИИ БЕЛОВСКОГО РАЙОНА </w:t>
      </w:r>
      <w:r>
        <w:rPr>
          <w:sz w:val="28"/>
        </w:rPr>
      </w:r>
      <w:r/>
    </w:p>
    <w:p>
      <w:pPr>
        <w:pStyle w:val="573"/>
        <w:ind w:firstLine="567"/>
        <w:spacing w:lineRule="auto" w:line="240"/>
        <w:widowControl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КУРСКОЙ ОБЛАСТИ</w:t>
      </w:r>
      <w:r>
        <w:rPr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 w:val="false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</w:t>
      </w:r>
      <w:r>
        <w:rPr>
          <w:sz w:val="28"/>
        </w:rPr>
      </w:r>
      <w:r/>
    </w:p>
    <w:p>
      <w:pPr>
        <w:jc w:val="center"/>
        <w:spacing w:lineRule="auto" w:line="240" w:after="0"/>
        <w:rPr>
          <w:rStyle w:val="572"/>
          <w:b w:val="false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</w:r>
      <w:r>
        <w:rPr>
          <w:rFonts w:ascii="Times New Roman" w:hAnsi="Times New Roman" w:cs="Times New Roman"/>
          <w:b/>
          <w:sz w:val="28"/>
          <w:szCs w:val="26"/>
        </w:rPr>
      </w:r>
      <w:r/>
    </w:p>
    <w:p>
      <w:pPr>
        <w:pStyle w:val="573"/>
        <w:ind w:firstLine="567"/>
        <w:spacing w:lineRule="auto" w:line="240"/>
        <w:widowControl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shd w:val="nil" w:color="auto" w:fill="FFFFFF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2021г.</w:t>
      </w:r>
      <w:r>
        <w:rPr>
          <w:sz w:val="28"/>
        </w:rPr>
      </w:r>
      <w:r/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</w:r>
      <w:r>
        <w:rPr>
          <w:rFonts w:ascii="Times New Roman" w:hAnsi="Times New Roman" w:cs="Times New Roman"/>
          <w:b/>
          <w:sz w:val="28"/>
          <w:szCs w:val="26"/>
        </w:rPr>
        <w:t xml:space="preserve">Содержание</w:t>
      </w:r>
      <w:r>
        <w:rPr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</w:r>
      <w:r>
        <w:rPr>
          <w:sz w:val="28"/>
        </w:rPr>
      </w:r>
      <w:r/>
    </w:p>
    <w:p>
      <w:pPr>
        <w:pStyle w:val="567"/>
        <w:ind w:left="0" w:right="0" w:firstLine="0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1. Общие положения.</w:t>
      </w:r>
      <w:r>
        <w:rPr>
          <w:sz w:val="28"/>
        </w:rPr>
        <w:t xml:space="preserve">..............................................................................................4</w:t>
      </w:r>
      <w:r/>
    </w:p>
    <w:p>
      <w:pPr>
        <w:pStyle w:val="567"/>
        <w:ind w:left="0" w:right="0" w:firstLine="0"/>
        <w:jc w:val="both"/>
        <w:spacing w:lineRule="auto" w:line="120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/>
    </w:p>
    <w:p>
      <w:pPr>
        <w:pStyle w:val="567"/>
        <w:ind w:left="0" w:right="0" w:firstLine="0"/>
        <w:jc w:val="both"/>
        <w:spacing w:lineRule="auto" w:line="223"/>
        <w:rPr>
          <w:sz w:val="28"/>
          <w:szCs w:val="26"/>
        </w:rPr>
      </w:pPr>
      <w:r>
        <w:rPr>
          <w:color w:val="auto"/>
          <w:sz w:val="28"/>
          <w:szCs w:val="26"/>
        </w:rPr>
        <w:t xml:space="preserve">2. Основные понятия.</w:t>
      </w:r>
      <w:r>
        <w:rPr>
          <w:sz w:val="28"/>
        </w:rPr>
        <w:t xml:space="preserve">..............................................................................................5</w:t>
      </w:r>
      <w:r/>
    </w:p>
    <w:p>
      <w:pPr>
        <w:pStyle w:val="567"/>
        <w:ind w:left="0" w:right="0" w:firstLine="0"/>
        <w:jc w:val="both"/>
        <w:spacing w:lineRule="auto" w:line="120"/>
        <w:rPr>
          <w:sz w:val="28"/>
          <w:szCs w:val="26"/>
        </w:rPr>
      </w:pPr>
      <w:r>
        <w:rPr>
          <w:sz w:val="28"/>
        </w:rPr>
      </w:r>
      <w:r>
        <w:rPr>
          <w:sz w:val="28"/>
        </w:rPr>
      </w:r>
    </w:p>
    <w:p>
      <w:pPr>
        <w:pStyle w:val="567"/>
        <w:ind w:left="0" w:right="0" w:firstLine="0"/>
        <w:jc w:val="both"/>
        <w:spacing w:lineRule="auto" w:line="223"/>
        <w:rPr>
          <w:sz w:val="28"/>
          <w:szCs w:val="26"/>
        </w:rPr>
      </w:pPr>
      <w:r>
        <w:rPr>
          <w:sz w:val="28"/>
        </w:rPr>
      </w:r>
      <w:r>
        <w:rPr>
          <w:color w:val="auto"/>
          <w:sz w:val="28"/>
          <w:szCs w:val="26"/>
        </w:rPr>
        <w:t xml:space="preserve">3.Коррупциогенные факторы, порождающие коррупционные правонарушения</w:t>
      </w:r>
      <w:r>
        <w:rPr>
          <w:sz w:val="28"/>
        </w:rPr>
        <w:t xml:space="preserve">......................................................................................................6</w:t>
      </w:r>
      <w:r/>
    </w:p>
    <w:p>
      <w:pPr>
        <w:pStyle w:val="567"/>
        <w:ind w:left="0" w:right="0" w:firstLine="0"/>
        <w:jc w:val="both"/>
        <w:spacing w:lineRule="auto" w:line="120"/>
        <w:rPr>
          <w:sz w:val="28"/>
          <w:szCs w:val="26"/>
        </w:rPr>
      </w:pPr>
      <w:r>
        <w:rPr>
          <w:sz w:val="28"/>
        </w:rPr>
      </w:r>
      <w:r/>
    </w:p>
    <w:p>
      <w:pPr>
        <w:pStyle w:val="567"/>
        <w:ind w:left="0" w:right="0" w:firstLine="0"/>
        <w:jc w:val="both"/>
        <w:spacing w:lineRule="auto" w:line="240"/>
        <w:rPr>
          <w:sz w:val="28"/>
          <w:szCs w:val="26"/>
        </w:rPr>
      </w:pPr>
      <w:r>
        <w:rPr>
          <w:sz w:val="28"/>
        </w:rPr>
      </w:r>
      <w:r>
        <w:rPr>
          <w:color w:val="auto"/>
          <w:sz w:val="28"/>
          <w:szCs w:val="26"/>
        </w:rPr>
        <w:t xml:space="preserve">4. Виды, механизмы выявления и оценки коррупционных рисков в различных сферах деятельности, в том числе, связанной с использованием бюджетных средств.</w:t>
      </w:r>
      <w:r>
        <w:rPr>
          <w:sz w:val="28"/>
        </w:rPr>
        <w:t xml:space="preserve">.....................................................................................................................7</w:t>
      </w:r>
      <w:r/>
    </w:p>
    <w:p>
      <w:pPr>
        <w:pStyle w:val="567"/>
        <w:ind w:left="0" w:right="0" w:firstLine="0"/>
        <w:jc w:val="both"/>
        <w:spacing w:lineRule="auto" w:line="120"/>
        <w:rPr>
          <w:color w:val="auto"/>
          <w:sz w:val="28"/>
          <w:szCs w:val="26"/>
        </w:rPr>
      </w:pPr>
      <w:r>
        <w:rPr>
          <w:sz w:val="28"/>
        </w:rPr>
      </w:r>
      <w:r>
        <w:rPr>
          <w:sz w:val="28"/>
        </w:rPr>
      </w:r>
    </w:p>
    <w:p>
      <w:pPr>
        <w:pStyle w:val="567"/>
        <w:ind w:left="0" w:right="0" w:firstLine="0"/>
        <w:jc w:val="both"/>
        <w:spacing w:lineRule="auto" w:line="240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5. Место и роль муниципальных контрольно-счетных органов в единой системе противодействия коррупции в Российской Федерации.</w:t>
      </w:r>
      <w:r>
        <w:rPr>
          <w:sz w:val="28"/>
        </w:rPr>
        <w:t xml:space="preserve">.....................13</w:t>
      </w:r>
      <w:r/>
    </w:p>
    <w:p>
      <w:pPr>
        <w:pStyle w:val="567"/>
        <w:ind w:left="0" w:right="0" w:firstLine="0"/>
        <w:jc w:val="both"/>
        <w:spacing w:lineRule="auto" w:line="120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/>
    </w:p>
    <w:p>
      <w:pPr>
        <w:pStyle w:val="567"/>
        <w:ind w:left="0" w:right="0" w:firstLine="0"/>
        <w:jc w:val="both"/>
        <w:spacing w:lineRule="auto" w:line="240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6. Реализация муниципальными контрольно-счетными органами информации о выявленных </w:t>
      </w:r>
      <w:r>
        <w:rPr>
          <w:color w:val="auto"/>
          <w:sz w:val="28"/>
          <w:szCs w:val="26"/>
        </w:rPr>
        <w:t xml:space="preserve">коррупциогенных</w:t>
      </w:r>
      <w:r>
        <w:rPr>
          <w:color w:val="auto"/>
          <w:sz w:val="28"/>
          <w:szCs w:val="26"/>
        </w:rPr>
        <w:t xml:space="preserve"> признаках.</w:t>
      </w:r>
      <w:r>
        <w:rPr>
          <w:sz w:val="28"/>
        </w:rPr>
        <w:t xml:space="preserve">......................................................15</w:t>
      </w:r>
      <w:r/>
    </w:p>
    <w:p>
      <w:pPr>
        <w:pStyle w:val="567"/>
        <w:ind w:left="0" w:right="0" w:firstLine="0"/>
        <w:jc w:val="both"/>
        <w:spacing w:lineRule="auto" w:line="120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/>
    </w:p>
    <w:p>
      <w:pPr>
        <w:pStyle w:val="567"/>
        <w:ind w:left="0" w:right="0" w:firstLine="0"/>
        <w:jc w:val="both"/>
        <w:spacing w:lineRule="auto" w:line="240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7. Выявление при проведении контрольного мероприятия в действиях (бездействии) должностных лиц объекта контроля </w:t>
      </w:r>
      <w:r>
        <w:rPr>
          <w:color w:val="auto"/>
          <w:sz w:val="28"/>
          <w:szCs w:val="26"/>
        </w:rPr>
        <w:t xml:space="preserve">коррупциогенных</w:t>
      </w:r>
      <w:r>
        <w:rPr>
          <w:color w:val="auto"/>
          <w:sz w:val="28"/>
          <w:szCs w:val="26"/>
        </w:rPr>
        <w:t xml:space="preserve"> признаков</w:t>
      </w:r>
      <w:r>
        <w:rPr>
          <w:sz w:val="28"/>
        </w:rPr>
        <w:t xml:space="preserve">................................................................................................................15</w:t>
      </w:r>
      <w:r/>
    </w:p>
    <w:p>
      <w:pPr>
        <w:pStyle w:val="567"/>
        <w:ind w:left="0" w:right="0" w:firstLine="0"/>
        <w:spacing w:lineRule="auto" w:line="120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/>
    </w:p>
    <w:p>
      <w:pPr>
        <w:pStyle w:val="567"/>
        <w:ind w:left="0" w:right="0" w:firstLine="0"/>
        <w:spacing w:lineRule="auto" w:line="240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8. Выявление </w:t>
      </w:r>
      <w:r>
        <w:rPr>
          <w:color w:val="auto"/>
          <w:sz w:val="28"/>
          <w:szCs w:val="26"/>
        </w:rPr>
        <w:t xml:space="preserve">коррупциогенных</w:t>
      </w:r>
      <w:r>
        <w:rPr>
          <w:color w:val="auto"/>
          <w:sz w:val="28"/>
          <w:szCs w:val="26"/>
        </w:rPr>
        <w:t xml:space="preserve"> признаков в ходе контрольных мероприятий при анализе положений действующих нормативных правовых актов.</w:t>
      </w:r>
      <w:r>
        <w:rPr>
          <w:sz w:val="28"/>
        </w:rPr>
        <w:t xml:space="preserve">...........18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</w:r>
      <w:r>
        <w:rPr>
          <w:sz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</w:r>
      <w:r>
        <w:rPr>
          <w:sz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562"/>
        <w:spacing w:after="0" w:befor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bookmarkEnd w:id="0"/>
      <w:r/>
      <w:r/>
    </w:p>
    <w:p>
      <w:pPr>
        <w:pStyle w:val="573"/>
        <w:jc w:val="left"/>
        <w:spacing w:lineRule="auto" w:line="240"/>
        <w:widowControl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567"/>
        <w:jc w:val="center"/>
        <w:pageBreakBefore/>
        <w:rPr>
          <w:color w:val="auto"/>
          <w:sz w:val="28"/>
          <w:szCs w:val="26"/>
        </w:rPr>
      </w:pPr>
      <w:r>
        <w:rPr>
          <w:b/>
          <w:bCs/>
          <w:color w:val="auto"/>
          <w:sz w:val="28"/>
          <w:szCs w:val="26"/>
        </w:rPr>
        <w:t xml:space="preserve">1. Общие положения</w:t>
      </w:r>
      <w:r>
        <w:rPr>
          <w:sz w:val="28"/>
        </w:rPr>
      </w:r>
      <w:r/>
    </w:p>
    <w:p>
      <w:pPr>
        <w:pStyle w:val="573"/>
        <w:jc w:val="left"/>
        <w:spacing w:lineRule="auto" w:line="240"/>
        <w:widowControl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</w:rPr>
      </w:r>
      <w:r/>
    </w:p>
    <w:p>
      <w:pPr>
        <w:pStyle w:val="573"/>
        <w:ind w:firstLine="360"/>
        <w:jc w:val="both"/>
        <w:spacing w:lineRule="auto" w:line="240"/>
        <w:widowControl/>
        <w:rPr>
          <w:sz w:val="28"/>
          <w:szCs w:val="26"/>
        </w:rPr>
      </w:pPr>
      <w:r>
        <w:rPr>
          <w:sz w:val="28"/>
          <w:szCs w:val="26"/>
        </w:rPr>
        <w:t xml:space="preserve">1.1. Стандарт внешнего </w:t>
      </w:r>
      <w:r>
        <w:rPr>
          <w:color w:val="000000"/>
          <w:spacing w:val="-2"/>
          <w:sz w:val="28"/>
          <w:szCs w:val="26"/>
        </w:rPr>
        <w:t xml:space="preserve">муниципального </w:t>
      </w:r>
      <w:r>
        <w:rPr>
          <w:sz w:val="28"/>
          <w:szCs w:val="26"/>
        </w:rPr>
        <w:t xml:space="preserve">финансового контроля</w:t>
      </w:r>
      <w:r>
        <w:rPr>
          <w:color w:val="000000"/>
          <w:sz w:val="28"/>
          <w:szCs w:val="26"/>
        </w:rPr>
        <w:t xml:space="preserve">, осуществляемого Ревизионной комиссией Беловского</w:t>
      </w:r>
      <w:r>
        <w:rPr>
          <w:color w:val="000000"/>
          <w:sz w:val="28"/>
          <w:szCs w:val="26"/>
        </w:rPr>
        <w:t xml:space="preserve"> района Курской области</w:t>
      </w:r>
      <w:r>
        <w:rPr>
          <w:color w:val="000000"/>
          <w:sz w:val="28"/>
          <w:szCs w:val="26"/>
        </w:rPr>
        <w:t xml:space="preserve">  (далее – Ревизионная комиссия) </w:t>
      </w:r>
      <w:r>
        <w:rPr>
          <w:rStyle w:val="572"/>
          <w:b w:val="false"/>
          <w:sz w:val="28"/>
          <w:szCs w:val="26"/>
        </w:rPr>
        <w:t xml:space="preserve">«Участие в пределах полномочий  в мероприятиях, направленных на противодействие коррупции</w:t>
      </w:r>
      <w:r>
        <w:rPr>
          <w:rStyle w:val="572"/>
          <w:b w:val="false"/>
          <w:sz w:val="28"/>
          <w:szCs w:val="26"/>
        </w:rPr>
        <w:t xml:space="preserve">»</w:t>
      </w:r>
      <w:r>
        <w:rPr>
          <w:sz w:val="28"/>
          <w:szCs w:val="26"/>
        </w:rPr>
        <w:t xml:space="preserve">(</w:t>
      </w:r>
      <w:r>
        <w:rPr>
          <w:sz w:val="28"/>
          <w:szCs w:val="26"/>
        </w:rPr>
        <w:t xml:space="preserve">далее - Стандарт) предназначен для методологического обеспечени</w:t>
      </w:r>
      <w:r>
        <w:rPr>
          <w:sz w:val="28"/>
          <w:szCs w:val="26"/>
        </w:rPr>
        <w:t xml:space="preserve">я </w:t>
      </w:r>
      <w:r>
        <w:rPr>
          <w:sz w:val="28"/>
          <w:szCs w:val="26"/>
        </w:rPr>
        <w:t xml:space="preserve">реализации положений ст. 9, ст. 11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Решения </w:t>
      </w:r>
      <w:r>
        <w:rPr>
          <w:sz w:val="28"/>
          <w:szCs w:val="26"/>
        </w:rPr>
        <w:t xml:space="preserve">Представительного </w:t>
      </w:r>
      <w:r>
        <w:rPr>
          <w:sz w:val="28"/>
          <w:szCs w:val="26"/>
        </w:rPr>
        <w:t xml:space="preserve">Собрания Беловского</w:t>
      </w:r>
      <w:r>
        <w:rPr>
          <w:sz w:val="28"/>
          <w:szCs w:val="26"/>
        </w:rPr>
        <w:t xml:space="preserve"> района Курской области</w:t>
      </w:r>
      <w:r>
        <w:rPr>
          <w:sz w:val="28"/>
          <w:szCs w:val="26"/>
        </w:rPr>
        <w:t xml:space="preserve"> от </w:t>
      </w:r>
      <w:r>
        <w:rPr>
          <w:sz w:val="28"/>
          <w:szCs w:val="26"/>
        </w:rPr>
        <w:t xml:space="preserve">29.</w:t>
      </w:r>
      <w:r>
        <w:rPr>
          <w:sz w:val="28"/>
          <w:szCs w:val="26"/>
        </w:rPr>
        <w:t xml:space="preserve">10.201</w:t>
      </w:r>
      <w:r>
        <w:rPr>
          <w:sz w:val="28"/>
          <w:szCs w:val="26"/>
        </w:rPr>
        <w:t xml:space="preserve">9г. №</w:t>
      </w:r>
      <w:r>
        <w:rPr>
          <w:sz w:val="28"/>
          <w:szCs w:val="26"/>
          <w:lang w:val="en-US"/>
        </w:rPr>
        <w:t xml:space="preserve">VI</w:t>
      </w:r>
      <w:r>
        <w:rPr>
          <w:sz w:val="28"/>
          <w:szCs w:val="26"/>
          <w:lang w:val="ru-RU"/>
        </w:rPr>
        <w:t xml:space="preserve">-</w:t>
      </w:r>
      <w:r>
        <w:rPr>
          <w:sz w:val="28"/>
          <w:szCs w:val="26"/>
          <w:lang w:val="en-US"/>
        </w:rPr>
        <w:t xml:space="preserve">2/2</w:t>
      </w:r>
      <w:bookmarkStart w:id="1" w:name="_GoBack"/>
      <w:r>
        <w:rPr>
          <w:sz w:val="28"/>
        </w:rPr>
      </w:r>
      <w:bookmarkEnd w:id="1"/>
      <w:r>
        <w:rPr>
          <w:sz w:val="28"/>
          <w:szCs w:val="26"/>
        </w:rPr>
        <w:t xml:space="preserve"> «Об утверждении Положения о </w:t>
      </w:r>
      <w:r>
        <w:rPr>
          <w:sz w:val="28"/>
          <w:szCs w:val="26"/>
        </w:rPr>
        <w:t xml:space="preserve">Ревизионной комиссии </w:t>
      </w:r>
      <w:r>
        <w:rPr>
          <w:sz w:val="28"/>
          <w:szCs w:val="26"/>
        </w:rPr>
        <w:t xml:space="preserve">Беловского района</w:t>
      </w:r>
      <w:r>
        <w:rPr>
          <w:sz w:val="28"/>
          <w:szCs w:val="26"/>
        </w:rPr>
        <w:t xml:space="preserve"> Курской области».</w:t>
      </w:r>
      <w:r>
        <w:rPr>
          <w:sz w:val="28"/>
        </w:rPr>
      </w:r>
      <w:r/>
    </w:p>
    <w:p>
      <w:pPr>
        <w:pStyle w:val="567"/>
        <w:ind w:firstLine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1.2. Стандарт разработан с учетом  общих требований к стандартам, а так же с использованием </w:t>
      </w:r>
      <w:r>
        <w:rPr>
          <w:sz w:val="28"/>
          <w:szCs w:val="26"/>
          <w:lang w:eastAsia="ru-RU"/>
        </w:rPr>
        <w:t xml:space="preserve">методических рекомендаций «Типовые методические указания по осуществлению мер противодействия коррупции в рамках проведения контрольных и экспертно-аналитических мероприятий муниципальных контрольно-счетными органами»</w:t>
      </w:r>
      <w:r>
        <w:rPr>
          <w:sz w:val="28"/>
          <w:szCs w:val="26"/>
          <w:lang w:eastAsia="ru-RU"/>
        </w:rPr>
        <w:t xml:space="preserve">.</w:t>
      </w:r>
      <w:r>
        <w:rPr>
          <w:sz w:val="28"/>
        </w:rPr>
      </w:r>
      <w:r/>
    </w:p>
    <w:p>
      <w:pPr>
        <w:pStyle w:val="567"/>
        <w:ind w:firstLine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1.3. Документы (правовая основа), которые необходимы для руководства при исполнении требований Стандарта:</w:t>
      </w:r>
      <w:r>
        <w:rPr>
          <w:sz w:val="28"/>
        </w:rPr>
      </w:r>
      <w:r/>
    </w:p>
    <w:p>
      <w:pPr>
        <w:pStyle w:val="567"/>
        <w:ind w:firstLine="360"/>
        <w:jc w:val="both"/>
        <w:rPr>
          <w:color w:val="auto"/>
          <w:sz w:val="28"/>
          <w:szCs w:val="26"/>
        </w:rPr>
      </w:pPr>
      <w:r>
        <w:rPr>
          <w:sz w:val="28"/>
          <w:szCs w:val="26"/>
        </w:rPr>
        <w:t xml:space="preserve">- </w:t>
      </w:r>
      <w:r>
        <w:rPr>
          <w:color w:val="auto"/>
          <w:sz w:val="28"/>
          <w:szCs w:val="26"/>
        </w:rPr>
        <w:t xml:space="preserve">Федеральный закон от 25.12.2008г. № 273-ФЗ «О противодействии коррупции»;</w:t>
      </w:r>
      <w:r>
        <w:rPr>
          <w:sz w:val="28"/>
        </w:rPr>
      </w:r>
      <w:r/>
    </w:p>
    <w:p>
      <w:pPr>
        <w:pStyle w:val="567"/>
        <w:ind w:firstLine="360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</w:t>
      </w:r>
      <w:r>
        <w:rPr>
          <w:color w:val="auto"/>
          <w:sz w:val="28"/>
          <w:szCs w:val="26"/>
        </w:rPr>
        <w:t xml:space="preserve">Федеральный закон от 17.07.2009г. № 172-ФЗ «Об антикоррупционной экспертизе нормативных правовых актов и проектов нормативных правовых актов»;</w:t>
      </w:r>
      <w:r>
        <w:rPr>
          <w:sz w:val="28"/>
        </w:rPr>
      </w:r>
      <w:r/>
    </w:p>
    <w:p>
      <w:pPr>
        <w:pStyle w:val="567"/>
        <w:ind w:firstLine="360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r>
        <w:rPr>
          <w:sz w:val="28"/>
        </w:rPr>
      </w:r>
      <w:r/>
    </w:p>
    <w:p>
      <w:pPr>
        <w:pStyle w:val="568"/>
        <w:ind w:firstLine="540"/>
        <w:jc w:val="both"/>
        <w:rPr>
          <w:rFonts w:eastAsia="Times New Roman"/>
          <w:b w:val="false"/>
          <w:sz w:val="28"/>
          <w:szCs w:val="26"/>
        </w:rPr>
      </w:pPr>
      <w:r>
        <w:rPr>
          <w:rFonts w:eastAsia="Times New Roman"/>
          <w:b w:val="false"/>
          <w:sz w:val="28"/>
          <w:szCs w:val="26"/>
        </w:rPr>
        <w:t xml:space="preserve">1.4. Целью Стандарта является его</w:t>
      </w:r>
      <w:r>
        <w:rPr>
          <w:b w:val="false"/>
          <w:sz w:val="28"/>
          <w:szCs w:val="26"/>
        </w:rPr>
        <w:t xml:space="preserve"> использование в практической работе должностными лицами </w:t>
      </w:r>
      <w:r>
        <w:rPr>
          <w:b w:val="false"/>
          <w:color w:val="000000"/>
          <w:sz w:val="28"/>
          <w:szCs w:val="26"/>
        </w:rPr>
        <w:t xml:space="preserve">Ревизионной комиссии </w:t>
      </w:r>
      <w:r>
        <w:rPr>
          <w:b w:val="false"/>
          <w:sz w:val="28"/>
          <w:szCs w:val="26"/>
        </w:rPr>
        <w:t xml:space="preserve">при проведении контрольных и экспертно-аналитических мероприятий в целях выявления и устранения проявлений коррупции.</w:t>
      </w:r>
      <w:r>
        <w:rPr>
          <w:sz w:val="28"/>
        </w:rPr>
      </w:r>
      <w:r/>
    </w:p>
    <w:p>
      <w:pPr>
        <w:pStyle w:val="568"/>
        <w:ind w:firstLine="540"/>
        <w:jc w:val="both"/>
        <w:rPr>
          <w:rFonts w:eastAsia="Times New Roman"/>
          <w:b w:val="false"/>
          <w:sz w:val="28"/>
          <w:szCs w:val="26"/>
        </w:rPr>
      </w:pPr>
      <w:r>
        <w:rPr>
          <w:rFonts w:eastAsia="Times New Roman"/>
          <w:b w:val="false"/>
          <w:sz w:val="28"/>
          <w:szCs w:val="26"/>
        </w:rPr>
        <w:t xml:space="preserve">1.5. Задачами Стандарта являются:</w:t>
      </w:r>
      <w:r>
        <w:rPr>
          <w:sz w:val="28"/>
        </w:rPr>
      </w:r>
      <w:r/>
    </w:p>
    <w:p>
      <w:pPr>
        <w:pStyle w:val="568"/>
        <w:ind w:firstLine="540"/>
        <w:jc w:val="both"/>
        <w:rPr>
          <w:rFonts w:eastAsia="Times New Roman"/>
          <w:b w:val="false"/>
          <w:sz w:val="28"/>
          <w:szCs w:val="26"/>
        </w:rPr>
      </w:pPr>
      <w:r>
        <w:rPr>
          <w:rFonts w:eastAsia="Times New Roman"/>
          <w:b w:val="false"/>
          <w:sz w:val="28"/>
          <w:szCs w:val="26"/>
        </w:rPr>
        <w:t xml:space="preserve">- </w:t>
      </w:r>
      <w:r>
        <w:rPr>
          <w:rStyle w:val="572"/>
          <w:b w:val="false"/>
          <w:sz w:val="28"/>
          <w:szCs w:val="26"/>
        </w:rPr>
        <w:t xml:space="preserve">участие в пределах полномочий  в мероприятиях, направленных на противодействие коррупции</w:t>
      </w:r>
      <w:r>
        <w:rPr>
          <w:rFonts w:eastAsia="Times New Roman"/>
          <w:b w:val="false"/>
          <w:sz w:val="28"/>
          <w:szCs w:val="26"/>
        </w:rPr>
        <w:t xml:space="preserve">;</w:t>
      </w:r>
      <w:r>
        <w:rPr>
          <w:b w:val="false"/>
          <w:sz w:val="28"/>
        </w:rPr>
      </w:r>
      <w:r/>
    </w:p>
    <w:p>
      <w:pPr>
        <w:pStyle w:val="568"/>
        <w:ind w:firstLine="540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b w:val="false"/>
          <w:sz w:val="28"/>
          <w:szCs w:val="26"/>
        </w:rPr>
        <w:t xml:space="preserve">- определение общих правил и процедур</w:t>
      </w:r>
      <w:r>
        <w:rPr>
          <w:rFonts w:eastAsia="Times New Roman"/>
          <w:sz w:val="28"/>
          <w:szCs w:val="26"/>
        </w:rPr>
        <w:t xml:space="preserve">.</w:t>
      </w:r>
      <w:r>
        <w:rPr>
          <w:sz w:val="28"/>
        </w:rPr>
      </w:r>
      <w:r/>
    </w:p>
    <w:p>
      <w:pPr>
        <w:pStyle w:val="568"/>
        <w:ind w:firstLine="540"/>
        <w:jc w:val="both"/>
        <w:rPr>
          <w:rFonts w:eastAsia="Times New Roman"/>
          <w:b w:val="false"/>
          <w:sz w:val="28"/>
          <w:szCs w:val="26"/>
        </w:rPr>
      </w:pPr>
      <w:r>
        <w:rPr>
          <w:b w:val="false"/>
          <w:sz w:val="28"/>
          <w:szCs w:val="26"/>
        </w:rPr>
        <w:t xml:space="preserve">1.6. Частью 4</w:t>
      </w:r>
      <w:r>
        <w:rPr>
          <w:b w:val="false"/>
          <w:sz w:val="28"/>
          <w:szCs w:val="26"/>
        </w:rPr>
        <w:t xml:space="preserve"> с</w:t>
      </w:r>
      <w:r>
        <w:rPr>
          <w:b w:val="false"/>
          <w:sz w:val="28"/>
          <w:szCs w:val="26"/>
        </w:rPr>
        <w:t xml:space="preserve">татьи 5 Федерального закона от 25.12.2008г. № 273-ФЗ «О противодействии коррупции» одной из организационных основ противодействия коррупции предусмотрено осуществление органами местного самоуправления противодействия коррупции в пределах своих полномочий.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1.7. В соответствии с частью 1 статьи 3 Федерального закона от 17.07.2009г. № 172-ФЗ «Об антикоррупционной экспертизе нормативных правовых актов и проекто</w:t>
      </w:r>
      <w:r>
        <w:rPr>
          <w:color w:val="auto"/>
          <w:sz w:val="28"/>
          <w:szCs w:val="26"/>
        </w:rPr>
        <w:t xml:space="preserve">в нормативных правовых актов» антикоррупционная экспертиза нормативных правовых актов (проектов нормативных правовых актов) проводится органами местного самоуправления в порядке, установленном нормативными правовыми актами органов местного самоуправления.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1.8. Таким образом, в соответ</w:t>
      </w:r>
      <w:r>
        <w:rPr>
          <w:color w:val="auto"/>
          <w:sz w:val="28"/>
          <w:szCs w:val="26"/>
        </w:rPr>
        <w:t xml:space="preserve">ст</w:t>
      </w:r>
      <w:r>
        <w:rPr>
          <w:color w:val="auto"/>
          <w:sz w:val="28"/>
          <w:szCs w:val="26"/>
        </w:rPr>
        <w:t xml:space="preserve">вии с частью 4 статьи 3 Федерального закона от 17.07.2009г. № 172-ФЗ «Об антикоррупционной экспертизе нормативных правовых актов и проектов нормативных правовых актов», муниципальные контрольно-счетные органы проводят антикоррупционную экспертизу принятых </w:t>
      </w:r>
      <w:r>
        <w:rPr>
          <w:color w:val="auto"/>
          <w:sz w:val="28"/>
          <w:szCs w:val="26"/>
        </w:rPr>
        <w:t xml:space="preserve">ими нормативных правовых актов (проектов нормативных правовых актов) при проведении их правовой экспертизы и мониторинге их применения.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1.9. </w:t>
      </w:r>
      <w:r>
        <w:rPr>
          <w:color w:val="auto"/>
          <w:sz w:val="28"/>
          <w:szCs w:val="26"/>
        </w:rPr>
        <w:t xml:space="preserve">Настоящий Стандарт не предусматривает проведение антикоррупционной экспертизы муницип</w:t>
      </w:r>
      <w:r>
        <w:rPr>
          <w:color w:val="auto"/>
          <w:sz w:val="28"/>
          <w:szCs w:val="26"/>
        </w:rPr>
        <w:t xml:space="preserve">ал</w:t>
      </w:r>
      <w:r>
        <w:rPr>
          <w:color w:val="auto"/>
          <w:sz w:val="28"/>
          <w:szCs w:val="26"/>
        </w:rPr>
        <w:t xml:space="preserve">ьных правовых актов муниципальных образований в порядке, предусмотренном Федеральным законом от 17.07.2009г. № 172-ФЗ «Об антикоррупционной экспертизе нормативных правовых актов и проектов нормативных правовых актов», но содержит рекомендации по выявлению </w:t>
      </w:r>
      <w:r>
        <w:rPr>
          <w:color w:val="auto"/>
          <w:sz w:val="28"/>
          <w:szCs w:val="26"/>
        </w:rPr>
        <w:t xml:space="preserve">коррупциогенных</w:t>
      </w:r>
      <w:r>
        <w:rPr>
          <w:color w:val="auto"/>
          <w:sz w:val="28"/>
          <w:szCs w:val="26"/>
        </w:rPr>
        <w:t xml:space="preserve"> признаков (рисков) при проведении анализа положений действующих нормативных правовых актов, осуществляемого в ходе контрольных и экспертно-аналитических мероприятий. </w:t>
      </w:r>
      <w:r>
        <w:rPr>
          <w:sz w:val="28"/>
        </w:rPr>
      </w:r>
      <w:r/>
    </w:p>
    <w:p>
      <w:pPr>
        <w:pStyle w:val="567"/>
        <w:ind w:firstLine="708"/>
        <w:jc w:val="center"/>
        <w:rPr>
          <w:b/>
          <w:bCs/>
          <w:color w:val="auto"/>
          <w:sz w:val="28"/>
          <w:szCs w:val="26"/>
        </w:rPr>
      </w:pPr>
      <w:r>
        <w:rPr>
          <w:b/>
          <w:bCs/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center"/>
        <w:rPr>
          <w:color w:val="auto"/>
          <w:sz w:val="28"/>
          <w:szCs w:val="26"/>
        </w:rPr>
      </w:pPr>
      <w:r>
        <w:rPr>
          <w:b/>
          <w:bCs/>
          <w:color w:val="auto"/>
          <w:sz w:val="28"/>
          <w:szCs w:val="26"/>
        </w:rPr>
        <w:t xml:space="preserve">2. Основные понятия</w:t>
      </w:r>
      <w:r>
        <w:rPr>
          <w:sz w:val="28"/>
        </w:rPr>
      </w:r>
      <w:r/>
    </w:p>
    <w:p>
      <w:pPr>
        <w:pStyle w:val="567"/>
        <w:ind w:firstLine="540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2.1. Коррупция: </w:t>
      </w:r>
      <w:r>
        <w:rPr>
          <w:sz w:val="28"/>
        </w:rPr>
      </w:r>
      <w:r/>
    </w:p>
    <w:p>
      <w:pPr>
        <w:pStyle w:val="568"/>
        <w:ind w:firstLine="540"/>
        <w:jc w:val="both"/>
        <w:rPr>
          <w:b w:val="false"/>
          <w:sz w:val="28"/>
          <w:szCs w:val="26"/>
        </w:rPr>
      </w:pPr>
      <w:r>
        <w:rPr>
          <w:sz w:val="28"/>
        </w:rPr>
      </w:r>
      <w:bookmarkStart w:id="2" w:name="Par1"/>
      <w:r>
        <w:rPr>
          <w:sz w:val="28"/>
        </w:rPr>
      </w:r>
      <w:bookmarkEnd w:id="2"/>
      <w:r>
        <w:rPr>
          <w:b w:val="false"/>
          <w:sz w:val="28"/>
          <w:szCs w:val="26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</w:t>
      </w:r>
      <w:r>
        <w:rPr>
          <w:b w:val="false"/>
          <w:sz w:val="28"/>
          <w:szCs w:val="26"/>
        </w:rPr>
        <w:t xml:space="preserve">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>
        <w:rPr>
          <w:sz w:val="28"/>
        </w:rPr>
      </w:r>
      <w:r/>
    </w:p>
    <w:p>
      <w:pPr>
        <w:pStyle w:val="568"/>
        <w:ind w:firstLine="540"/>
        <w:jc w:val="both"/>
        <w:rPr>
          <w:b w:val="false"/>
          <w:sz w:val="28"/>
          <w:szCs w:val="26"/>
        </w:rPr>
      </w:pPr>
      <w:r>
        <w:rPr>
          <w:b w:val="false"/>
          <w:sz w:val="28"/>
          <w:szCs w:val="26"/>
        </w:rPr>
        <w:t xml:space="preserve">б) совершение деяний, указанных в </w:t>
      </w:r>
      <w:hyperlink w:tooltip="Current Document" w:anchor="Par1" w:history="1">
        <w:r>
          <w:rPr>
            <w:b w:val="false"/>
            <w:sz w:val="28"/>
            <w:szCs w:val="26"/>
          </w:rPr>
          <w:t xml:space="preserve">«а»</w:t>
        </w:r>
      </w:hyperlink>
      <w:r>
        <w:rPr>
          <w:b w:val="false"/>
          <w:sz w:val="28"/>
          <w:szCs w:val="26"/>
        </w:rPr>
        <w:t xml:space="preserve"> настоящего пункта, от имени или в интересах юридического лица.</w:t>
      </w:r>
      <w:r>
        <w:rPr>
          <w:sz w:val="28"/>
        </w:rPr>
      </w:r>
      <w:r/>
    </w:p>
    <w:p>
      <w:pPr>
        <w:pStyle w:val="567"/>
        <w:ind w:firstLine="540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2.2. </w:t>
      </w:r>
      <w:r>
        <w:rPr>
          <w:color w:val="auto"/>
          <w:sz w:val="28"/>
          <w:szCs w:val="26"/>
        </w:rPr>
        <w:t xml:space="preserve">Коррупциогенный</w:t>
      </w:r>
      <w:r>
        <w:rPr>
          <w:color w:val="auto"/>
          <w:sz w:val="28"/>
          <w:szCs w:val="26"/>
        </w:rPr>
        <w:t xml:space="preserve"> фак</w:t>
      </w:r>
      <w:r>
        <w:rPr>
          <w:color w:val="auto"/>
          <w:sz w:val="28"/>
          <w:szCs w:val="26"/>
        </w:rPr>
        <w:t xml:space="preserve">тор – явление или совокупность явлений, объективные и субъективные предпосылки, порождающие коррупционные правонарушения или способствующие их распространению; положения нормативных правовых актов (проектов нормативных правовых актов), устанавливающие для </w:t>
      </w:r>
      <w:r>
        <w:rPr>
          <w:color w:val="auto"/>
          <w:sz w:val="28"/>
          <w:szCs w:val="26"/>
        </w:rPr>
        <w:t xml:space="preserve">правоприменителя</w:t>
      </w:r>
      <w:r>
        <w:rPr>
          <w:color w:val="auto"/>
          <w:sz w:val="28"/>
          <w:szCs w:val="26"/>
        </w:rPr>
        <w:t xml:space="preserve"> необоснованно широкие пределы усмотрен</w:t>
      </w:r>
      <w:r>
        <w:rPr>
          <w:color w:val="auto"/>
          <w:sz w:val="28"/>
          <w:szCs w:val="26"/>
        </w:rPr>
        <w:t xml:space="preserve">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самым, создающие условия для проявления коррупции. </w:t>
      </w:r>
      <w:r>
        <w:rPr>
          <w:sz w:val="28"/>
        </w:rPr>
      </w:r>
      <w:r/>
    </w:p>
    <w:p>
      <w:pPr>
        <w:pStyle w:val="567"/>
        <w:ind w:firstLine="540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2.3. </w:t>
      </w:r>
      <w:r>
        <w:rPr>
          <w:color w:val="auto"/>
          <w:sz w:val="28"/>
          <w:szCs w:val="26"/>
        </w:rPr>
        <w:t xml:space="preserve">Коррупциогенные</w:t>
      </w:r>
      <w:r>
        <w:rPr>
          <w:color w:val="auto"/>
          <w:sz w:val="28"/>
          <w:szCs w:val="26"/>
        </w:rPr>
        <w:t xml:space="preserve"> признаки – нормативные правовые конструкции актов законодательства и (или) изданные во исполнение их распорядительные</w:t>
      </w:r>
      <w:r>
        <w:rPr>
          <w:color w:val="auto"/>
          <w:sz w:val="28"/>
          <w:szCs w:val="26"/>
        </w:rPr>
        <w:t xml:space="preserve"> акты, создающие возможности для совершения коррупционных правонарушений в процессе реализации положений нормативного правового акта, а также действия (бездействие) должностных лиц, дающие основания предполагать о совершении коррупционного правонарушения. </w:t>
      </w:r>
      <w:r>
        <w:rPr>
          <w:sz w:val="28"/>
        </w:rPr>
      </w:r>
      <w:r/>
    </w:p>
    <w:p>
      <w:pPr>
        <w:pStyle w:val="567"/>
        <w:ind w:firstLine="540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2.4. Должностное лицо – лицо, замещающее в органах местного самоуправления, государственных и муниципальных учреждениях и предприятиях должности, связанные с выполнением организационно-распорядительных или административно-хозяйственных функций. </w:t>
      </w:r>
      <w:r>
        <w:rPr>
          <w:sz w:val="28"/>
        </w:rPr>
      </w:r>
      <w:r/>
    </w:p>
    <w:p>
      <w:pPr>
        <w:pStyle w:val="567"/>
        <w:ind w:firstLine="540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2.5.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физических лиц в пределах их полномочий: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по предупреждению коррупции, в том числе по выявлению и последующему устранению причин коррупции (профилактика коррупции);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по выявлению, предупреждению, пресечению, раскрытию и расследованию коррупционных правонарушений (борьба с коррупцией);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по минимизации и (или) ликвидации последствий коррупционных правонарушений.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2.6. Коррупционный риск – наличие обстоятельств, провоциру</w:t>
      </w:r>
      <w:r>
        <w:rPr>
          <w:color w:val="auto"/>
          <w:sz w:val="28"/>
          <w:szCs w:val="26"/>
        </w:rPr>
        <w:t xml:space="preserve">ющих должностных лиц муниципальных органов, учреждений, организаций на незаконное использование должностного положения в целях получения выгоды для себя или третьих лиц, либо незаконное предоставление такой выгоды указанному лицу, другим физическим лицам. </w:t>
      </w:r>
      <w:r>
        <w:rPr>
          <w:sz w:val="28"/>
        </w:rPr>
      </w:r>
      <w:r/>
    </w:p>
    <w:p>
      <w:pPr>
        <w:pStyle w:val="567"/>
        <w:jc w:val="center"/>
        <w:rPr>
          <w:b/>
          <w:bCs/>
          <w:color w:val="auto"/>
          <w:sz w:val="28"/>
          <w:szCs w:val="26"/>
        </w:rPr>
      </w:pPr>
      <w:r>
        <w:rPr>
          <w:b/>
          <w:bCs/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jc w:val="center"/>
        <w:rPr>
          <w:b/>
          <w:color w:val="auto"/>
          <w:sz w:val="28"/>
          <w:szCs w:val="26"/>
        </w:rPr>
      </w:pPr>
      <w:r>
        <w:rPr>
          <w:b/>
          <w:bCs/>
          <w:color w:val="auto"/>
          <w:sz w:val="28"/>
          <w:szCs w:val="26"/>
        </w:rPr>
        <w:t xml:space="preserve">3. </w:t>
      </w:r>
      <w:r>
        <w:rPr>
          <w:b/>
          <w:bCs/>
          <w:color w:val="auto"/>
          <w:sz w:val="28"/>
          <w:szCs w:val="26"/>
        </w:rPr>
        <w:t xml:space="preserve">Коррупциогенные</w:t>
      </w:r>
      <w:r>
        <w:rPr>
          <w:b/>
          <w:bCs/>
          <w:color w:val="auto"/>
          <w:sz w:val="28"/>
          <w:szCs w:val="26"/>
        </w:rPr>
        <w:t xml:space="preserve"> факторы, порождающие коррупционные правонарушения</w:t>
      </w:r>
      <w:r>
        <w:rPr>
          <w:sz w:val="28"/>
        </w:rPr>
      </w:r>
      <w:r/>
    </w:p>
    <w:p>
      <w:pPr>
        <w:pStyle w:val="567"/>
        <w:jc w:val="center"/>
        <w:rPr>
          <w:color w:val="auto"/>
          <w:sz w:val="28"/>
          <w:szCs w:val="26"/>
        </w:rPr>
      </w:pPr>
      <w:r>
        <w:rPr>
          <w:b/>
          <w:bCs/>
          <w:color w:val="auto"/>
          <w:sz w:val="28"/>
          <w:szCs w:val="26"/>
        </w:rPr>
      </w:r>
      <w:r>
        <w:rPr>
          <w:b/>
          <w:bCs/>
          <w:color w:val="auto"/>
          <w:sz w:val="28"/>
          <w:szCs w:val="26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3.1. Коррупция как общественное явление обусловлено существованием </w:t>
      </w:r>
      <w:r>
        <w:rPr>
          <w:color w:val="auto"/>
          <w:sz w:val="28"/>
          <w:szCs w:val="26"/>
        </w:rPr>
        <w:t xml:space="preserve">коррупциогенных</w:t>
      </w:r>
      <w:r>
        <w:rPr>
          <w:color w:val="auto"/>
          <w:sz w:val="28"/>
          <w:szCs w:val="26"/>
        </w:rPr>
        <w:t xml:space="preserve"> </w:t>
      </w:r>
      <w:r>
        <w:rPr>
          <w:color w:val="auto"/>
          <w:sz w:val="28"/>
          <w:szCs w:val="26"/>
        </w:rPr>
        <w:t xml:space="preserve"> факторов в государстве и обществе.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Эти факторы могут быть объективными и субъективными относительно должностного лица, совершившего коррупционное правонарушение. Побудительные мотивы к неправомерному поведению должностного лица порождаются как недостатк</w:t>
      </w:r>
      <w:r>
        <w:rPr>
          <w:color w:val="auto"/>
          <w:sz w:val="28"/>
          <w:szCs w:val="26"/>
        </w:rPr>
        <w:t xml:space="preserve">ами государственной политики и кризисным состоянием общества, так и недостатками в организации работы отдельного учреждения (предприятия) и особенностями личности правонарушителя, создающими широкие возможности для неправомерного извлечения личной выгоды. </w:t>
      </w:r>
      <w:r>
        <w:rPr>
          <w:sz w:val="28"/>
        </w:rPr>
      </w:r>
      <w:r/>
    </w:p>
    <w:p>
      <w:pPr>
        <w:pStyle w:val="567"/>
        <w:ind w:firstLine="708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3.2. Субъективными </w:t>
      </w:r>
      <w:r>
        <w:rPr>
          <w:color w:val="auto"/>
          <w:sz w:val="28"/>
          <w:szCs w:val="26"/>
        </w:rPr>
        <w:t xml:space="preserve">коррупциогенными</w:t>
      </w:r>
      <w:r>
        <w:rPr>
          <w:color w:val="auto"/>
          <w:sz w:val="28"/>
          <w:szCs w:val="26"/>
        </w:rPr>
        <w:t xml:space="preserve"> факторами могут являться: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низкий уровень профессиональной квалификации вышестоящих руководителей правонарушителя (или иных контролирующих его лиц) и, как следствие, бесконтрольность отдельного должностного лица при выполнении им своих должностных обязанностей; </w:t>
      </w:r>
      <w:r>
        <w:rPr>
          <w:sz w:val="28"/>
        </w:rPr>
      </w:r>
      <w:r/>
    </w:p>
    <w:p>
      <w:pPr>
        <w:pStyle w:val="567"/>
        <w:ind w:left="0" w:right="0"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наличие тесных неформальных отношений между должностными лицами в системе органов государственного и муниципального управления и экономики, «семейственность»;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tabs>
          <w:tab w:val="left" w:pos="425" w:leader="none"/>
        </w:tabs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явное несоответствие важности решаемых вопросов и низкого уровня оплаты труда отдельного должностного лица;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чрезмерная служебная загруженность отдельного должностного лица, не позволяющая надлежащим образом исполнять ему все свои должностные обязанности;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тяжелая жизненная ситуация в которой находится должностное лицо, разрешение которой требует значительных расходов, явно несоразмерных его легальным доходам.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3.3. Все вышеуказанные </w:t>
      </w:r>
      <w:r>
        <w:rPr>
          <w:color w:val="auto"/>
          <w:sz w:val="28"/>
          <w:szCs w:val="26"/>
        </w:rPr>
        <w:t xml:space="preserve">коррупциогенные</w:t>
      </w:r>
      <w:r>
        <w:rPr>
          <w:color w:val="auto"/>
          <w:sz w:val="28"/>
          <w:szCs w:val="26"/>
        </w:rPr>
        <w:t xml:space="preserve"> факторы могут спровоцировать совершение коррупционных правонарушений, однако с точки зрения действующего законодательства они не являются основаниями для освобождения виновного лица от ответственности. </w:t>
      </w:r>
      <w:r>
        <w:rPr>
          <w:sz w:val="28"/>
        </w:rPr>
      </w:r>
      <w:r/>
    </w:p>
    <w:p>
      <w:pPr>
        <w:pStyle w:val="567"/>
        <w:jc w:val="center"/>
        <w:rPr>
          <w:b/>
          <w:bCs/>
          <w:color w:val="auto"/>
          <w:sz w:val="28"/>
          <w:szCs w:val="26"/>
        </w:rPr>
      </w:pPr>
      <w:r>
        <w:rPr>
          <w:b/>
          <w:bCs/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jc w:val="center"/>
        <w:rPr>
          <w:b/>
          <w:bCs/>
          <w:color w:val="auto"/>
          <w:sz w:val="28"/>
          <w:szCs w:val="26"/>
        </w:rPr>
      </w:pPr>
      <w:r>
        <w:rPr>
          <w:b/>
          <w:bCs/>
          <w:color w:val="auto"/>
          <w:sz w:val="28"/>
          <w:szCs w:val="26"/>
        </w:rPr>
        <w:t xml:space="preserve">4. Виды, механизмы выявления и оценки коррупционных рисков в различных сферах деятельности, в том числе, связанной с использованием бюджетных средств</w:t>
      </w:r>
      <w:r>
        <w:rPr>
          <w:sz w:val="28"/>
        </w:rPr>
      </w:r>
      <w:r/>
    </w:p>
    <w:p>
      <w:pPr>
        <w:pStyle w:val="567"/>
        <w:jc w:val="center"/>
        <w:rPr>
          <w:b/>
          <w:bCs/>
          <w:color w:val="auto"/>
          <w:sz w:val="28"/>
          <w:szCs w:val="26"/>
        </w:rPr>
      </w:pPr>
      <w:r>
        <w:rPr>
          <w:b/>
          <w:bCs/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4.1. Любой вид деятельности, в том числе связанной с использованием бюджетных средств, подвержен коррупционным рискам, порождаемым различными причинами.</w:t>
      </w:r>
      <w:r>
        <w:rPr>
          <w:sz w:val="28"/>
        </w:rPr>
      </w:r>
      <w:r/>
    </w:p>
    <w:p>
      <w:pPr>
        <w:pStyle w:val="567"/>
        <w:ind w:firstLine="708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К коррупционным рискам, имеющим технические причины, относятся;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недееспособная система запретов и ограничений, налагаемых на лиц, занимающих государственные и муниципальные должности, и государственных и муниципальных служащих;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color w:val="auto"/>
          <w:sz w:val="28"/>
          <w:szCs w:val="26"/>
        </w:rPr>
        <w:t xml:space="preserve">- независимость и закрытость принятия решений;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color w:val="auto"/>
          <w:sz w:val="28"/>
          <w:szCs w:val="26"/>
        </w:rPr>
        <w:t xml:space="preserve">- наличие в правовой и организационной системах положений, способствующих созданию административных барьеров;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color w:val="auto"/>
          <w:sz w:val="28"/>
          <w:szCs w:val="26"/>
        </w:rPr>
        <w:t xml:space="preserve">- громоздкая система отчетности государственных и муниципальных органов;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color w:val="auto"/>
          <w:sz w:val="28"/>
          <w:szCs w:val="26"/>
        </w:rPr>
        <w:t xml:space="preserve">- избыточность государственных функций;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color w:val="auto"/>
          <w:sz w:val="28"/>
          <w:szCs w:val="26"/>
        </w:rPr>
        <w:t xml:space="preserve">- низкая эффективность внутреннего и внешнего </w:t>
      </w:r>
      <w:r>
        <w:rPr>
          <w:color w:val="auto"/>
          <w:sz w:val="28"/>
          <w:szCs w:val="26"/>
        </w:rPr>
        <w:t xml:space="preserve">контроля за</w:t>
      </w:r>
      <w:r>
        <w:rPr>
          <w:color w:val="auto"/>
          <w:sz w:val="28"/>
          <w:szCs w:val="26"/>
        </w:rPr>
        <w:t xml:space="preserve"> деятельностью государственных, муниципальных органов и учреждений, их должностных лиц;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color w:val="auto"/>
          <w:sz w:val="28"/>
          <w:szCs w:val="26"/>
        </w:rPr>
        <w:t xml:space="preserve">- отсутствие административных и должностных регламентов;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color w:val="auto"/>
          <w:sz w:val="28"/>
          <w:szCs w:val="26"/>
        </w:rPr>
        <w:t xml:space="preserve">- несовершенство механизмов обратной связи между гражданами и органами контроля и надзора. </w:t>
      </w:r>
      <w:r>
        <w:rPr>
          <w:sz w:val="28"/>
        </w:rPr>
      </w:r>
      <w:r/>
    </w:p>
    <w:p>
      <w:pPr>
        <w:pStyle w:val="567"/>
        <w:ind w:firstLine="708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К рискам, имеющим причины социальной направленности, относятся: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значительный разрыв в оплате труда работников государственного (муниципального) и частного секторов;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color w:val="auto"/>
          <w:sz w:val="28"/>
          <w:szCs w:val="26"/>
        </w:rPr>
        <w:t xml:space="preserve">- </w:t>
      </w:r>
      <w:r>
        <w:rPr>
          <w:color w:val="auto"/>
          <w:sz w:val="28"/>
          <w:szCs w:val="26"/>
        </w:rPr>
        <w:t xml:space="preserve">нестимулирующий</w:t>
      </w:r>
      <w:r>
        <w:rPr>
          <w:color w:val="auto"/>
          <w:sz w:val="28"/>
          <w:szCs w:val="26"/>
        </w:rPr>
        <w:t xml:space="preserve"> характер предоставляемых льгот и гарантий для работников государственного (муниципального) сектора;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color w:val="auto"/>
          <w:sz w:val="28"/>
          <w:szCs w:val="26"/>
        </w:rPr>
        <w:t xml:space="preserve">- слабая правовая защищенность работников государственных (муниципальных) органов, а также лиц, оказывающих содействие правоохранительным органам.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К рискам, имеющим причины экономической направленности, относится низкий уровень конкуренции.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4.2. Выявление и оценка коррупционных рисков производятся: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на подготовительном этапе контрольного и экспертно-аналитического мероприятия при формировании программы мероприятия;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color w:val="auto"/>
          <w:sz w:val="28"/>
          <w:szCs w:val="26"/>
        </w:rPr>
        <w:t xml:space="preserve">- во время проведения контрольного и экспертно-аналитического мероприятия на объекте, если это соответствует одной из целей мероприятия, или при проведен</w:t>
      </w:r>
      <w:r>
        <w:rPr>
          <w:color w:val="auto"/>
          <w:sz w:val="28"/>
          <w:szCs w:val="26"/>
        </w:rPr>
        <w:t xml:space="preserve">ии ау</w:t>
      </w:r>
      <w:r>
        <w:rPr>
          <w:color w:val="auto"/>
          <w:sz w:val="28"/>
          <w:szCs w:val="26"/>
        </w:rPr>
        <w:t xml:space="preserve">дита эффективности реализации программ по противодействию коррупции.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4.3. Оценка коррупционных рисков осуществляется для того, чтобы: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выявить и оценить факторы, создающие возможности совершения коррупционных действий и (или) принятия коррупционных решений;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определить эффективность механизма действия внутреннего контроля по снижению или устранению </w:t>
      </w:r>
      <w:r>
        <w:rPr>
          <w:color w:val="auto"/>
          <w:sz w:val="28"/>
          <w:szCs w:val="26"/>
        </w:rPr>
        <w:t xml:space="preserve">коррупциогенных</w:t>
      </w:r>
      <w:r>
        <w:rPr>
          <w:color w:val="auto"/>
          <w:sz w:val="28"/>
          <w:szCs w:val="26"/>
        </w:rPr>
        <w:t xml:space="preserve"> факторов;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выработать рекомендации по снижению или устранению </w:t>
      </w:r>
      <w:r>
        <w:rPr>
          <w:color w:val="auto"/>
          <w:sz w:val="28"/>
          <w:szCs w:val="26"/>
        </w:rPr>
        <w:t xml:space="preserve">коррупциогенных</w:t>
      </w:r>
      <w:r>
        <w:rPr>
          <w:color w:val="auto"/>
          <w:sz w:val="28"/>
          <w:szCs w:val="26"/>
        </w:rPr>
        <w:t xml:space="preserve"> факторов;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color w:val="auto"/>
          <w:sz w:val="28"/>
          <w:szCs w:val="26"/>
        </w:rPr>
        <w:t xml:space="preserve">- предложить руководству объекта контроля утвердить перечень мероприятий, направленных на снижение или устранение коррупционных рисков и совершенствование управленческого процесса.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4.4. При выявлении и оценке коррупционных рисков следует учитывать определенные признаки, создающие дополнительные условия для коррупции в сферах деятельности объекта контроля: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высокая степень свободы принятия решений, вызванная спецификой работы;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интенсивность контактов с гражданами и организациями;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оплата услуг для государственных нужд, которые муниципальные органы, учреждения и организации могут выполнять сами согласно утвержденному положению (уставу);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отсутствие реализации результатов выполненных научно-исследовательских и опытно-конструкторских работ (в том числе маркетинговых исследований и услуг) или мероприятий по их внедрению;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подписание муниципаль</w:t>
      </w:r>
      <w:r>
        <w:rPr>
          <w:color w:val="auto"/>
          <w:sz w:val="28"/>
          <w:szCs w:val="26"/>
        </w:rPr>
        <w:t xml:space="preserve">ных контрактов на поставки товаров, выполнение работ и оказание услуг не руководителем, а по доверенности заместителем или иным лицом, в функциональных обязанностях которого не предусмотрено осуществление таких действий и ответственности за их совершение;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наличие полномочий, связанных с распределением больших объемов финансовых средств;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значительное увеличение активов должностного лица, его близких родственников и свойственников, а также аффилированных с ними юридических лиц, которое не может быть объяснено разумными и законными причинами;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получение должностным лицом, его близкими родственниками и свойственниками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получение лицом, его близкими родственниками и свойстве</w:t>
      </w:r>
      <w:r>
        <w:rPr>
          <w:color w:val="auto"/>
          <w:sz w:val="28"/>
          <w:szCs w:val="26"/>
        </w:rPr>
        <w:t xml:space="preserve">нниками, а также аффилированными с ними юридическими лицами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получение необоснованных налоговых льгот юридическими лицами, аффилированными с муниципальным служащим и (или) его родственниками. </w:t>
      </w:r>
      <w:r>
        <w:rPr>
          <w:sz w:val="28"/>
        </w:rPr>
      </w:r>
      <w:r/>
    </w:p>
    <w:p>
      <w:pPr>
        <w:pStyle w:val="567"/>
        <w:ind w:left="0" w:right="0" w:firstLine="567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4.5. О наличии коррупционных рисков в сферах деятельности, связанных с использованием бюджетных средств, могут свидетельствовать: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отсутствие порядка и правил использования бюджетных сре</w:t>
      </w:r>
      <w:r>
        <w:rPr>
          <w:color w:val="auto"/>
          <w:sz w:val="28"/>
          <w:szCs w:val="26"/>
        </w:rPr>
        <w:t xml:space="preserve">дств в св</w:t>
      </w:r>
      <w:r>
        <w:rPr>
          <w:color w:val="auto"/>
          <w:sz w:val="28"/>
          <w:szCs w:val="26"/>
        </w:rPr>
        <w:t xml:space="preserve">язи с недостатками нормативного правового регулирования в контролируемой сфере использования бюджетных средств;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необъяснимое увеличение расходов (субсидий) или уменьшение доходов, которые подлежат перечислению в бюджет, у подведомственных муниципальных унитарных предприятий и учреждений;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отсутствие должностных регламентов у лиц, принимающих решения о направлениях использования бюджетных средств;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отсутствие нормативных правовых документов, регламентирующих порядок согласования (одобрения), а также совершения сделок с муниципальным имуществ</w:t>
      </w:r>
      <w:r>
        <w:rPr>
          <w:color w:val="auto"/>
          <w:sz w:val="28"/>
          <w:szCs w:val="26"/>
        </w:rPr>
        <w:t xml:space="preserve">ом, находящимся в хозяйственном ведении муниципальных унитарных предприятий и оперативном управлении учреждений, в случаях, когда такое согласование (одобрение) предусмотрено законодательством или уставами муниципальных унитарных предприятий и учреждений.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4.6. Для выявления коррупционных рисков во время проведения контрольного или экспертно-аналитического мероприятия на объекте контроля следует получить ответы на следующие вопросы: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в достаточной ли степени описаны процедуры выполнения обязанностей должностными лицами?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в каких ситуациях возможен конфликт интересов?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color w:val="auto"/>
          <w:sz w:val="28"/>
          <w:szCs w:val="26"/>
        </w:rPr>
        <w:t xml:space="preserve">- достаточно ли четко прописан процесс принятия решений?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tabs>
          <w:tab w:val="left" w:pos="0" w:leader="none"/>
        </w:tabs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какие факторы, помимо свойств личного характера, не позволяют сотрудникам объекта контроля заниматься коррупционной деятельностью?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вовлечен ли объект контроля в процесс принятия окончательных и независимых решений?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имели ли место случаи коррупции в проверяемом объекте?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достаточен ли </w:t>
      </w:r>
      <w:r>
        <w:rPr>
          <w:color w:val="auto"/>
          <w:sz w:val="28"/>
          <w:szCs w:val="26"/>
        </w:rPr>
        <w:t xml:space="preserve">контроль за</w:t>
      </w:r>
      <w:r>
        <w:rPr>
          <w:color w:val="auto"/>
          <w:sz w:val="28"/>
          <w:szCs w:val="26"/>
        </w:rPr>
        <w:t xml:space="preserve"> процессом принятия решений?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достаточен ли </w:t>
      </w:r>
      <w:r>
        <w:rPr>
          <w:color w:val="auto"/>
          <w:sz w:val="28"/>
          <w:szCs w:val="26"/>
        </w:rPr>
        <w:t xml:space="preserve">контроль за</w:t>
      </w:r>
      <w:r>
        <w:rPr>
          <w:color w:val="auto"/>
          <w:sz w:val="28"/>
          <w:szCs w:val="26"/>
        </w:rPr>
        <w:t xml:space="preserve"> сотрудниками и результатами их работы?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Данный перечень вопросов не является исчерпывающим </w:t>
      </w:r>
      <w:r>
        <w:rPr>
          <w:color w:val="auto"/>
          <w:sz w:val="28"/>
          <w:szCs w:val="26"/>
        </w:rPr>
        <w:t xml:space="preserve">и может быть дополнен с учетом специфики деятельности муниципального органа. Ответы на указанные вопросы могут дать достаточно точную картину заложенных в объекте контроля потенциальных условий и факторов, способствующих совершению коррупционных действий.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4.7. Механизм выявления коррупционных рисков в муниципальном органе содержит следующие необходимые элементы: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установление перечня потенциально </w:t>
      </w:r>
      <w:r>
        <w:rPr>
          <w:color w:val="auto"/>
          <w:sz w:val="28"/>
          <w:szCs w:val="26"/>
        </w:rPr>
        <w:t xml:space="preserve">коррупциогенных</w:t>
      </w:r>
      <w:r>
        <w:rPr>
          <w:color w:val="auto"/>
          <w:sz w:val="28"/>
          <w:szCs w:val="26"/>
        </w:rPr>
        <w:t xml:space="preserve"> сфер деятельности органа;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color w:val="auto"/>
          <w:sz w:val="28"/>
          <w:szCs w:val="26"/>
        </w:rPr>
        <w:t xml:space="preserve">- выделение отдельных полномочий муниципального служащего, при выполнении которых существует вероятность возникновения коррупционных проявлений или действий;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color w:val="auto"/>
          <w:sz w:val="28"/>
          <w:szCs w:val="26"/>
        </w:rPr>
        <w:t xml:space="preserve">- формирование перечня </w:t>
      </w:r>
      <w:r>
        <w:rPr>
          <w:color w:val="auto"/>
          <w:sz w:val="28"/>
          <w:szCs w:val="26"/>
        </w:rPr>
        <w:t xml:space="preserve">коррупциогенных</w:t>
      </w:r>
      <w:r>
        <w:rPr>
          <w:color w:val="auto"/>
          <w:sz w:val="28"/>
          <w:szCs w:val="26"/>
        </w:rPr>
        <w:t xml:space="preserve"> должностей в муниципальном органе;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color w:val="auto"/>
          <w:sz w:val="28"/>
          <w:szCs w:val="26"/>
        </w:rPr>
        <w:t xml:space="preserve">- выявление скрытых потенциальных возможностей системы местного самоуправления, способствующих коррупционным проявлениям со стороны должностных лиц;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color w:val="auto"/>
          <w:sz w:val="28"/>
          <w:szCs w:val="26"/>
        </w:rPr>
        <w:t xml:space="preserve">- выявление </w:t>
      </w:r>
      <w:r>
        <w:rPr>
          <w:color w:val="auto"/>
          <w:sz w:val="28"/>
          <w:szCs w:val="26"/>
        </w:rPr>
        <w:t xml:space="preserve">коррупциогенных</w:t>
      </w:r>
      <w:r>
        <w:rPr>
          <w:color w:val="auto"/>
          <w:sz w:val="28"/>
          <w:szCs w:val="26"/>
        </w:rPr>
        <w:t xml:space="preserve"> норм законодательства.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4.8. В перечне сфер деятельности муниципальных органов можно выделить направления деятельности, которые содержат повышенный уровень коррупционных рисков: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размещение заказов на поставку товаров, выполнение работ, оказание услуг для муниципальных нужд;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color w:val="auto"/>
          <w:sz w:val="28"/>
          <w:szCs w:val="26"/>
        </w:rPr>
        <w:t xml:space="preserve">- формирование, исполнение и </w:t>
      </w:r>
      <w:r>
        <w:rPr>
          <w:color w:val="auto"/>
          <w:sz w:val="28"/>
          <w:szCs w:val="26"/>
        </w:rPr>
        <w:t xml:space="preserve">контроль за</w:t>
      </w:r>
      <w:r>
        <w:rPr>
          <w:color w:val="auto"/>
          <w:sz w:val="28"/>
          <w:szCs w:val="26"/>
        </w:rPr>
        <w:t xml:space="preserve"> исполнением бюджета;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color w:val="auto"/>
          <w:sz w:val="28"/>
          <w:szCs w:val="26"/>
        </w:rPr>
        <w:t xml:space="preserve">- управление и распоряжение объектами муниципальной собственности (здания, строения, сооружения), в том числе по вопросам аренды, безвозмездного пользования и приватизации этих объектов;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color w:val="auto"/>
          <w:sz w:val="28"/>
          <w:szCs w:val="26"/>
        </w:rPr>
        <w:t xml:space="preserve">- управление и распоряжение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в том числе по вопросам аренды и продажи этих участков;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color w:val="auto"/>
          <w:sz w:val="28"/>
          <w:szCs w:val="26"/>
        </w:rPr>
        <w:t xml:space="preserve">- управление и распоряжение жилищным фондом, в том числе по вопросам заключения договоров социального, коммерческого найма, найма специализированного жилого фонда;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color w:val="auto"/>
          <w:sz w:val="28"/>
          <w:szCs w:val="26"/>
        </w:rPr>
        <w:t xml:space="preserve">- предоставление муниципальных гарантий, бюджетных кредитов, субсидий, субвенций, дотаций, управление бюджетным долгом. </w:t>
      </w:r>
      <w:r>
        <w:rPr>
          <w:sz w:val="28"/>
        </w:rPr>
      </w:r>
      <w:r/>
    </w:p>
    <w:p>
      <w:pPr>
        <w:pStyle w:val="567"/>
        <w:ind w:firstLine="708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Повышенный уровень коррупционных рисков содержится также в отдельных экономических и социальных сферах: </w:t>
      </w:r>
      <w:r>
        <w:rPr>
          <w:sz w:val="28"/>
        </w:rPr>
      </w:r>
      <w:r/>
    </w:p>
    <w:p>
      <w:pPr>
        <w:pStyle w:val="567"/>
        <w:ind w:left="0" w:right="0" w:firstLine="567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транспорт и дорожное хозяйство; </w:t>
      </w:r>
      <w:r>
        <w:rPr>
          <w:sz w:val="28"/>
        </w:rPr>
      </w:r>
      <w:r/>
    </w:p>
    <w:p>
      <w:pPr>
        <w:pStyle w:val="567"/>
        <w:ind w:left="0" w:right="0" w:firstLine="567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строительство и капитальный ремонт; </w:t>
      </w:r>
      <w:r>
        <w:rPr>
          <w:sz w:val="28"/>
        </w:rPr>
      </w:r>
      <w:r/>
    </w:p>
    <w:p>
      <w:pPr>
        <w:pStyle w:val="567"/>
        <w:ind w:left="0" w:right="0" w:firstLine="567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природно-ресурсное регулирование; </w:t>
      </w:r>
      <w:r>
        <w:rPr>
          <w:sz w:val="28"/>
        </w:rPr>
      </w:r>
      <w:r/>
    </w:p>
    <w:p>
      <w:pPr>
        <w:pStyle w:val="567"/>
        <w:ind w:left="0" w:right="0" w:firstLine="567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энергетика и нефтегазовый комплекс; </w:t>
      </w:r>
      <w:r>
        <w:rPr>
          <w:sz w:val="28"/>
        </w:rPr>
      </w:r>
      <w:r/>
    </w:p>
    <w:p>
      <w:pPr>
        <w:pStyle w:val="567"/>
        <w:ind w:left="0" w:right="0" w:firstLine="567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агропромышленный комплекс; </w:t>
      </w:r>
      <w:r>
        <w:rPr>
          <w:sz w:val="28"/>
        </w:rPr>
      </w:r>
      <w:r/>
    </w:p>
    <w:p>
      <w:pPr>
        <w:pStyle w:val="567"/>
        <w:ind w:left="0" w:right="0" w:firstLine="567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жилищно-коммунальный комплекс; </w:t>
      </w:r>
      <w:r>
        <w:rPr>
          <w:sz w:val="28"/>
        </w:rPr>
      </w:r>
      <w:r/>
    </w:p>
    <w:p>
      <w:pPr>
        <w:pStyle w:val="567"/>
        <w:ind w:left="0" w:right="0" w:firstLine="567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здравоохранение; </w:t>
      </w:r>
      <w:r>
        <w:rPr>
          <w:sz w:val="28"/>
        </w:rPr>
      </w:r>
      <w:r/>
    </w:p>
    <w:p>
      <w:pPr>
        <w:pStyle w:val="567"/>
        <w:ind w:left="0" w:right="0" w:firstLine="567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образование. </w:t>
      </w:r>
      <w:r>
        <w:rPr>
          <w:sz w:val="28"/>
        </w:rPr>
      </w:r>
      <w:r/>
    </w:p>
    <w:p>
      <w:pPr>
        <w:pStyle w:val="567"/>
        <w:ind w:left="0" w:right="0" w:firstLine="567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Высокий уровень коррупционных рисков присутствует в процессах и процедурах: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принятия нормативных правовых актов;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выдачи лицензий, разрешений на проведение отдельных видов работ;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назначения на муниципальные должности, включая проведение аттестации, квалификационных экзаменов муниципальных служащих, конкурсов </w:t>
      </w:r>
      <w:r>
        <w:rPr>
          <w:sz w:val="28"/>
          <w:szCs w:val="26"/>
          <w:lang w:eastAsia="ru-RU"/>
        </w:rPr>
        <w:t xml:space="preserve">на замещение вакантных должностей муниципальной службы и включения муниципальных служащих в кадровый резерв.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4.9. Обязательной оценке на коррупционность подлежат контрольные, разрешительные, регистрационные, </w:t>
      </w:r>
      <w:r>
        <w:rPr>
          <w:color w:val="auto"/>
          <w:sz w:val="28"/>
          <w:szCs w:val="26"/>
        </w:rPr>
        <w:t xml:space="preserve">юрисдикционные</w:t>
      </w:r>
      <w:r>
        <w:rPr>
          <w:color w:val="auto"/>
          <w:sz w:val="28"/>
          <w:szCs w:val="26"/>
        </w:rPr>
        <w:t xml:space="preserve"> функции и полномочия объекта контроля, а также нормотворческие полномочия объекта контроля. </w:t>
      </w:r>
      <w:r>
        <w:rPr>
          <w:sz w:val="28"/>
        </w:rPr>
      </w:r>
      <w:r/>
    </w:p>
    <w:p>
      <w:pPr>
        <w:pStyle w:val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К контрольным функциям и полномо</w:t>
      </w:r>
      <w:r>
        <w:rPr>
          <w:color w:val="auto"/>
          <w:sz w:val="28"/>
          <w:szCs w:val="26"/>
        </w:rPr>
        <w:t xml:space="preserve">чиям объекта контроля относятся функции и полномочия, связанные с осуществлением проверок законности деятельности различных субъектов (объекты контроля - инспекции, ревизионные управления, и прочие, осуществляющие контроль и надзор в определенных сферах).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К разрешите</w:t>
      </w:r>
      <w:r>
        <w:rPr>
          <w:color w:val="auto"/>
          <w:sz w:val="28"/>
          <w:szCs w:val="26"/>
        </w:rPr>
        <w:t xml:space="preserve">льным функциям и полномочиям объекта контроля относятся функции и полномочия, связанные с выдачей документов, подтверждающих специальные права на занятие определенной деятельностью (удостоверений, лицензий, разрешений, свидетельств об аккредитации и т.п.) </w:t>
      </w:r>
      <w:r>
        <w:rPr>
          <w:color w:val="auto"/>
          <w:sz w:val="28"/>
          <w:szCs w:val="26"/>
        </w:rPr>
        <w:t xml:space="preserve">К данным </w:t>
      </w:r>
      <w:r>
        <w:rPr>
          <w:color w:val="auto"/>
          <w:sz w:val="28"/>
          <w:szCs w:val="26"/>
        </w:rPr>
        <w:t xml:space="preserve">полномочиям условно можно отнести полномочия, связанные со сдачей объектов муниципальной собственности в аренду, с приватизацией муниципальной собственности, распределением бюджетных средств (например, закупки для муниципальных нужд), а также с согласовани</w:t>
      </w:r>
      <w:r>
        <w:rPr>
          <w:color w:val="auto"/>
          <w:sz w:val="28"/>
          <w:szCs w:val="26"/>
        </w:rPr>
        <w:t xml:space="preserve">ем (одобрением) сделок с муниципальным имуществом, находящимся в хозяйственном ведении муниципальных унитарных предприятий и оперативном управлении муниципальных учреждений (в случаях, предусмотренных законодательством или уставами указанных организаций).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К регистрационным функциям и полномочиям объекта контроля относятся функции и полномочия, осуществляемые в целях удостоверения фактов установления, изменения или прекращения правового статуса с</w:t>
      </w:r>
      <w:r>
        <w:rPr>
          <w:color w:val="auto"/>
          <w:sz w:val="28"/>
          <w:szCs w:val="26"/>
        </w:rPr>
        <w:t xml:space="preserve">убъектов (налогоплательщиков, лицензиатов). К данным полномочиям также могут быть отнесены полномочия по выдаче свидетельств на получение субсидий на строительство и приобретение жилья, о постановке на учет в качестве нуждающегося в жилом помещении и т.п.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К </w:t>
      </w:r>
      <w:r>
        <w:rPr>
          <w:color w:val="auto"/>
          <w:sz w:val="28"/>
          <w:szCs w:val="26"/>
        </w:rPr>
        <w:t xml:space="preserve">юрисдикционным</w:t>
      </w:r>
      <w:r>
        <w:rPr>
          <w:color w:val="auto"/>
          <w:sz w:val="28"/>
          <w:szCs w:val="26"/>
        </w:rPr>
        <w:t xml:space="preserve"> функциям и полномочиям объекта контроля относятся функции и полномочия должностного лица муниципального органа, осуществляемые в целях применения мер административно-правовой ответственности (например, наложение административных штрафов).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К нормотворческим функциям и полномочиям объекта контроля относятся функции и полномочия по принятию нормативных правовых актов.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4.10.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службы, наиболее подверженных коррупционным рискам. </w:t>
      </w:r>
      <w:r>
        <w:rPr>
          <w:sz w:val="28"/>
        </w:rPr>
      </w:r>
      <w:r/>
    </w:p>
    <w:p>
      <w:pPr>
        <w:pStyle w:val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Перечни </w:t>
      </w:r>
      <w:r>
        <w:rPr>
          <w:color w:val="auto"/>
          <w:sz w:val="28"/>
          <w:szCs w:val="26"/>
        </w:rPr>
        <w:t xml:space="preserve">коррупциогенных</w:t>
      </w:r>
      <w:r>
        <w:rPr>
          <w:color w:val="auto"/>
          <w:sz w:val="28"/>
          <w:szCs w:val="26"/>
        </w:rPr>
        <w:t xml:space="preserve">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служащего.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В перечень коррупционных должностей входят должности, связанные со следующими мероприятиями: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принятием нормативных правовых актов;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осуществлением контрольных и надзорных мероприятий;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подготовкой и принятием решений о распределении бюджетных средств, межбюджетных трансфертов, а также распределением ограниченных ресурсов (квот, участков недр и др.);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непосредственным предоставлением государственных (муниципальных), бюджетных услуг;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подготовкой и принятием решений, по осуществлению закупок для муниципальных нужд;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подготовкой и принятием решений по выдаче лицензий и разрешений;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осуществлением регистрационных действий;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подготовкой и принятием решений по целевым, инвестиционным программам, капитальным вложениям и другим программам, предусматривающим выделение бюджетных средств;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иными контрольно-разрешительными действиями.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4.11. На основе </w:t>
      </w:r>
      <w:r>
        <w:rPr>
          <w:color w:val="auto"/>
          <w:sz w:val="28"/>
          <w:szCs w:val="26"/>
        </w:rPr>
        <w:t xml:space="preserve">полученных</w:t>
      </w:r>
      <w:r>
        <w:rPr>
          <w:color w:val="auto"/>
          <w:sz w:val="28"/>
          <w:szCs w:val="26"/>
        </w:rPr>
        <w:t xml:space="preserve"> в ходе проведения контрольного мероприятия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данных следует рекомендовать руководству объекта контроля принятие необходимых дополнительных мер, утверждение перечня мероприятий, направленных на снижение коррупционных рисков: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минимизировать непосредственное взаимодействие муниципальных служащих с гражданами и организациями, например через механизм «одного окна» или системы электронного обмена информацией;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детально регламентировать процедуры взаимодействия с субъектами регулирования (потребителями муниципальных, бюджетных услуг) путем утверждения объектом контроля административных регламентов;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раздробить административные процедуры на дополнительные стадии, и закрепить их за независимыми друг от друга должностными лицами для обеспечения взаимного контроля;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создать особые механизмы регулирования муниципальных функций и назначения на должности муниципальной службы с высокой степенью </w:t>
      </w:r>
      <w:r>
        <w:rPr>
          <w:color w:val="auto"/>
          <w:sz w:val="28"/>
          <w:szCs w:val="26"/>
        </w:rPr>
        <w:t xml:space="preserve">коррупциогенности</w:t>
      </w:r>
      <w:r>
        <w:rPr>
          <w:color w:val="auto"/>
          <w:sz w:val="28"/>
          <w:szCs w:val="26"/>
        </w:rPr>
        <w:t xml:space="preserve">.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4.12. При осуществлении оценки ур</w:t>
      </w:r>
      <w:r>
        <w:rPr>
          <w:color w:val="auto"/>
          <w:sz w:val="28"/>
          <w:szCs w:val="26"/>
        </w:rPr>
        <w:t xml:space="preserve">овня коррупционного риска объекта контроля, следует оценить риск по всем сферам деятельности объекта по пятибалльной системе: очень высокий (5 баллов), высокий (4 балла), средний (3 балла), низкий (2 балла), очень низкий (1 балл) или как отсутствующий (0).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Затем определяется уровень коррупционного риска в целом по объекту контроля.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Оценка коррупционных ри</w:t>
      </w:r>
      <w:r>
        <w:rPr>
          <w:color w:val="auto"/>
          <w:sz w:val="28"/>
          <w:szCs w:val="26"/>
        </w:rPr>
        <w:t xml:space="preserve">сков, проводимая в рамках аудита эффективности программ по противодействию коррупции, осуществляетсяна основе предварительно согласованных с объектом контроля критериев оценки, их количественных и качественных показателей для каждого критерия (индикатора).</w:t>
      </w:r>
      <w:r>
        <w:rPr>
          <w:sz w:val="28"/>
        </w:rPr>
      </w:r>
      <w:r/>
    </w:p>
    <w:p>
      <w:pPr>
        <w:pStyle w:val="567"/>
        <w:rPr>
          <w:b/>
          <w:bCs/>
          <w:color w:val="auto"/>
          <w:sz w:val="28"/>
          <w:szCs w:val="26"/>
        </w:rPr>
      </w:pPr>
      <w:r>
        <w:rPr>
          <w:b/>
          <w:bCs/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jc w:val="center"/>
        <w:rPr>
          <w:b/>
          <w:color w:val="auto"/>
          <w:sz w:val="28"/>
          <w:szCs w:val="26"/>
        </w:rPr>
      </w:pPr>
      <w:r>
        <w:rPr>
          <w:b/>
          <w:bCs/>
          <w:color w:val="auto"/>
          <w:sz w:val="28"/>
          <w:szCs w:val="26"/>
        </w:rPr>
        <w:t xml:space="preserve">5. Место и роль муниципальных контрольно-счетных органов в единой системе противодействия коррупции в Российской Федерации.</w:t>
      </w:r>
      <w:r>
        <w:rPr>
          <w:sz w:val="28"/>
        </w:rPr>
      </w:r>
      <w:r/>
    </w:p>
    <w:p>
      <w:pPr>
        <w:pStyle w:val="567"/>
        <w:jc w:val="center"/>
        <w:rPr>
          <w:color w:val="auto"/>
          <w:sz w:val="28"/>
          <w:szCs w:val="26"/>
        </w:rPr>
      </w:pPr>
      <w:r>
        <w:rPr>
          <w:b/>
          <w:bCs/>
          <w:color w:val="auto"/>
          <w:sz w:val="28"/>
          <w:szCs w:val="26"/>
        </w:rPr>
      </w:r>
      <w:r>
        <w:rPr>
          <w:b/>
          <w:bCs/>
          <w:color w:val="auto"/>
          <w:sz w:val="28"/>
          <w:szCs w:val="26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5.1. Основные функции муниципальных контрольно-счетных органов, в соответствии с действующим законодательством, направлены на предотвращение и устранение: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неправомерного и неэффективного использования бюджетных средств и муниципального имущества,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необоснованного предоставления налоговых и иных льгот и преимуществ, бюджетных кредитов, муниципальных гарантий,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на повышения уровня законности и эффективности формирования доходов бюджета.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Коррупция по своим последствиям неизбежно приводит к прямым и косв</w:t>
      </w:r>
      <w:r>
        <w:rPr>
          <w:color w:val="auto"/>
          <w:sz w:val="28"/>
          <w:szCs w:val="26"/>
        </w:rPr>
        <w:t xml:space="preserve">енным потерям бюджетных средств, муниципальной собственности, вносит дезорганизацию в деятельность органов местного самоуправления. Противодействие коррупции является неотъемлемой частью полномочий муниципальных контрольно-счетных органов, а устранение так</w:t>
      </w:r>
      <w:r>
        <w:rPr>
          <w:color w:val="auto"/>
          <w:sz w:val="28"/>
          <w:szCs w:val="26"/>
        </w:rPr>
        <w:t xml:space="preserve">ого явления -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образом, что входит в цели создания контрольно-счетных органов Российской Федерации.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5.2. Противодействие коррупции со стороны муниципальных контрольно-счетных орг</w:t>
      </w:r>
      <w:r>
        <w:rPr>
          <w:color w:val="auto"/>
          <w:sz w:val="28"/>
          <w:szCs w:val="26"/>
        </w:rPr>
        <w:t xml:space="preserve">анов должно осуществляться в строгом соответствии с правами и обязанностями должностных лиц муниципальных контрольно-счетных органов, условиями и порядком их осуществления, установленными положениями о контрольно-счетных палатах муниципальных образований.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В этой связи, противодействие коррупции может осуществляться в следующих формах: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выявление при проведении контрольных мероприятий коррупционных рисков в деятельности объекта контроля и </w:t>
      </w:r>
      <w:r>
        <w:rPr>
          <w:color w:val="auto"/>
          <w:sz w:val="28"/>
          <w:szCs w:val="26"/>
        </w:rPr>
        <w:t xml:space="preserve">коррупциогенных признаков</w:t>
      </w:r>
      <w:r>
        <w:rPr>
          <w:color w:val="auto"/>
          <w:sz w:val="28"/>
          <w:szCs w:val="26"/>
        </w:rPr>
        <w:t xml:space="preserve"> в нормативных правовых актах, а также инициирование их устранения;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выявление коррупционных рисков, </w:t>
      </w:r>
      <w:r>
        <w:rPr>
          <w:color w:val="auto"/>
          <w:sz w:val="28"/>
          <w:szCs w:val="26"/>
        </w:rPr>
        <w:t xml:space="preserve">коррупциогенных</w:t>
      </w:r>
      <w:r>
        <w:rPr>
          <w:color w:val="auto"/>
          <w:sz w:val="28"/>
          <w:szCs w:val="26"/>
        </w:rPr>
        <w:t xml:space="preserve"> признаков в действиях (бездействии) должностных лиц проверяемых объектов.     Направление соответствующей информации в вышестоящие органы для проведения служебной проверки и применения мер дисциплинарной ответственности к в</w:t>
      </w:r>
      <w:r>
        <w:rPr>
          <w:color w:val="auto"/>
          <w:sz w:val="28"/>
          <w:szCs w:val="26"/>
        </w:rPr>
        <w:t xml:space="preserve">иновным или в правоохранительные органы для установления факта совершения коррупционного правонарушения, ответственность за которое предусмотрена Уголовным кодексом Российской Федерации или Кодексом Российской Федерации об административных правонарушениях;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контрольно-счетного органа.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5.3. Полномочия муниципальных контрольно-счетных органов на осуществление внешнего муниципального финансового контроля в форме проведения контрольных или экспертно-аналитических мероприятий дают возможность выявлять в основном коррупционные риски, </w:t>
      </w:r>
      <w:r>
        <w:rPr>
          <w:color w:val="auto"/>
          <w:sz w:val="28"/>
          <w:szCs w:val="26"/>
        </w:rPr>
        <w:t xml:space="preserve">коррупциогенные</w:t>
      </w:r>
      <w:r>
        <w:rPr>
          <w:color w:val="auto"/>
          <w:sz w:val="28"/>
          <w:szCs w:val="26"/>
        </w:rPr>
        <w:t xml:space="preserve"> факторы или признаки (причем не во всех случаях), но не позволяют достоверно установить факт совершения коррупционного правонарушения. </w:t>
      </w:r>
      <w:r>
        <w:rPr>
          <w:sz w:val="28"/>
        </w:rPr>
      </w:r>
      <w:r/>
    </w:p>
    <w:p>
      <w:pPr>
        <w:pStyle w:val="567"/>
        <w:ind w:left="0" w:right="0" w:firstLine="567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Состав коррупционного уголовного или административного правонарушения (событие, место, мотив, цель, способ, степень вины) может быть установлен только в процессе дознания, предварительного и судебного следствия.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5.4. Вместе с тем, отдельные коррупционные правонарушения, за совершение которых предусмотрена дисциплинарная ответственность, могут быть установлены, не выходя за рамки контрольных мероприятий, проводимых должностными лицами мун</w:t>
      </w:r>
      <w:r>
        <w:rPr>
          <w:color w:val="auto"/>
          <w:sz w:val="28"/>
          <w:szCs w:val="26"/>
        </w:rPr>
        <w:t xml:space="preserve">иципальных контрольно-счетных органов. Например, такие, как нарушение запретов, связанных с муниципальной службой или замещением муниципальной должности: осуществление предпринимательской деятельности, замещение муниципальным служащим выборной должности в </w:t>
      </w:r>
      <w:r>
        <w:rPr>
          <w:color w:val="auto"/>
          <w:sz w:val="28"/>
          <w:szCs w:val="26"/>
        </w:rPr>
        <w:t xml:space="preserve">органах власти любого уровня, использование муниципального имущества в целях, не связанных с исполнением должностных обязанностей, или передача его в пользование другим лицам и пр.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center"/>
        <w:rPr>
          <w:b/>
          <w:color w:val="auto"/>
          <w:sz w:val="28"/>
          <w:szCs w:val="26"/>
        </w:rPr>
      </w:pPr>
      <w:r>
        <w:rPr>
          <w:b/>
          <w:bCs/>
          <w:color w:val="auto"/>
          <w:sz w:val="28"/>
          <w:szCs w:val="26"/>
        </w:rPr>
        <w:t xml:space="preserve">6. Реализация муниципальными контрольно-счетными органами информации о выявленных </w:t>
      </w:r>
      <w:r>
        <w:rPr>
          <w:b/>
          <w:bCs/>
          <w:color w:val="auto"/>
          <w:sz w:val="28"/>
          <w:szCs w:val="26"/>
        </w:rPr>
        <w:t xml:space="preserve">коррупциогенных</w:t>
      </w:r>
      <w:r>
        <w:rPr>
          <w:b/>
          <w:bCs/>
          <w:color w:val="auto"/>
          <w:sz w:val="28"/>
          <w:szCs w:val="26"/>
        </w:rPr>
        <w:t xml:space="preserve"> признаках</w:t>
      </w:r>
      <w:r>
        <w:rPr>
          <w:sz w:val="28"/>
        </w:rPr>
      </w:r>
      <w:r/>
    </w:p>
    <w:p>
      <w:pPr>
        <w:pStyle w:val="567"/>
        <w:ind w:firstLine="708"/>
        <w:jc w:val="center"/>
        <w:rPr>
          <w:color w:val="auto"/>
          <w:sz w:val="28"/>
          <w:szCs w:val="26"/>
        </w:rPr>
      </w:pPr>
      <w:r>
        <w:rPr>
          <w:b/>
          <w:bCs/>
          <w:color w:val="auto"/>
          <w:sz w:val="28"/>
          <w:szCs w:val="26"/>
        </w:rPr>
      </w:r>
      <w:r>
        <w:rPr>
          <w:b/>
          <w:bCs/>
          <w:color w:val="auto"/>
          <w:sz w:val="28"/>
          <w:szCs w:val="26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6.1. Следует учесть, что </w:t>
      </w:r>
      <w:r>
        <w:rPr>
          <w:color w:val="auto"/>
          <w:sz w:val="28"/>
          <w:szCs w:val="26"/>
        </w:rPr>
        <w:t xml:space="preserve">коррупциогенные</w:t>
      </w:r>
      <w:r>
        <w:rPr>
          <w:color w:val="auto"/>
          <w:sz w:val="28"/>
          <w:szCs w:val="26"/>
        </w:rPr>
        <w:t xml:space="preserve"> признаки сами по себе либо не образуют самостоятельного право</w:t>
      </w:r>
      <w:r>
        <w:rPr>
          <w:color w:val="auto"/>
          <w:sz w:val="28"/>
          <w:szCs w:val="26"/>
        </w:rPr>
        <w:t xml:space="preserve">нарушения (т.е. те или иные действия формально выглядят вполне законными), либо в отдельных случаях образуют административные и дисциплинарные нарушения, но для правоохранительных органов могут указывать на возможно совершенные коррупционные преступления.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С другой стороны, тот или иной выявленный </w:t>
      </w:r>
      <w:r>
        <w:rPr>
          <w:color w:val="auto"/>
          <w:sz w:val="28"/>
          <w:szCs w:val="26"/>
        </w:rPr>
        <w:t xml:space="preserve">коррупциогенный</w:t>
      </w:r>
      <w:r>
        <w:rPr>
          <w:color w:val="auto"/>
          <w:sz w:val="28"/>
          <w:szCs w:val="26"/>
        </w:rPr>
        <w:t xml:space="preserve"> признак может быть обусловлен причинами не связанными с коррупцией, например: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не соответствие должностного лица замещаемой должности по своему уровню профессиональной подготовки, опыту работы, состоянию здоровья;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халатное отношение к исполнению служебных обязанностей, бесхозяйственность, расточительность, погоня за незаслуженной популярностью (популизм);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принятие решений должностным лицом в условиях чрезвычайной ситуации или иных нестандартных обстоятельств (авария, пожар, преступное посягательство, внезапная угроза жизни или здоровью граждан и т.п.).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6.2. В связи с этим, обстоятельства, содержащие </w:t>
      </w:r>
      <w:r>
        <w:rPr>
          <w:color w:val="auto"/>
          <w:sz w:val="28"/>
          <w:szCs w:val="26"/>
        </w:rPr>
        <w:t xml:space="preserve">коррупциогенные</w:t>
      </w:r>
      <w:r>
        <w:rPr>
          <w:color w:val="auto"/>
          <w:sz w:val="28"/>
          <w:szCs w:val="26"/>
        </w:rPr>
        <w:t xml:space="preserve"> признаки в действия</w:t>
      </w:r>
      <w:r>
        <w:rPr>
          <w:color w:val="auto"/>
          <w:sz w:val="28"/>
          <w:szCs w:val="26"/>
        </w:rPr>
        <w:t xml:space="preserve">х должностных лиц, но которые не образуют самостоятельного правонарушения, должны быть максимально подробно описаны в акте проверки (с указанием реквизитов документов, сведений о лицах их подписавших), без какой-либо оценки (квалификации), поскольку такие </w:t>
      </w:r>
      <w:r>
        <w:rPr>
          <w:color w:val="auto"/>
          <w:sz w:val="28"/>
          <w:szCs w:val="26"/>
        </w:rPr>
        <w:t xml:space="preserve">коррупциогенные</w:t>
      </w:r>
      <w:r>
        <w:rPr>
          <w:color w:val="auto"/>
          <w:sz w:val="28"/>
          <w:szCs w:val="26"/>
        </w:rPr>
        <w:t xml:space="preserve"> признаки носят характер предположений.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Комментарии муниципального контрольно-счетного органа о вероятности совершения коррупционного правонарушения должны быть изложены в информации о выявленных </w:t>
      </w:r>
      <w:r>
        <w:rPr>
          <w:color w:val="auto"/>
          <w:sz w:val="28"/>
          <w:szCs w:val="26"/>
        </w:rPr>
        <w:t xml:space="preserve">коррупциогенных</w:t>
      </w:r>
      <w:r>
        <w:rPr>
          <w:color w:val="auto"/>
          <w:sz w:val="28"/>
          <w:szCs w:val="26"/>
        </w:rPr>
        <w:t xml:space="preserve"> признаках, которая направляется в вышестоящий орган для проведения служебного расследования и (или) в органы прокуратуры для соответствующей оценки и проведения дополнительных проверок в порядке, определенно</w:t>
      </w:r>
      <w:r>
        <w:rPr>
          <w:color w:val="auto"/>
          <w:sz w:val="28"/>
          <w:szCs w:val="26"/>
        </w:rPr>
        <w:t xml:space="preserve">м статьями 144, 145 УПК РФ. В соответствии с частью 6 статьи 5 Федерального закона «О противодействии коррупции» органы прокуратуры Российской Федерации координируют деятельность всех правоохранительных органов Российской Федерации по борьбе с коррупцией. </w:t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jc w:val="center"/>
        <w:rPr>
          <w:b/>
          <w:color w:val="auto"/>
          <w:sz w:val="28"/>
          <w:szCs w:val="26"/>
        </w:rPr>
      </w:pPr>
      <w:r>
        <w:rPr>
          <w:b/>
          <w:bCs/>
          <w:color w:val="auto"/>
          <w:sz w:val="28"/>
          <w:szCs w:val="26"/>
        </w:rPr>
        <w:t xml:space="preserve">7. Выявление при проведении контрольного мероприятия в действиях (бездействии) должностных лиц объекта контроля </w:t>
      </w:r>
      <w:r>
        <w:rPr>
          <w:b/>
          <w:bCs/>
          <w:color w:val="auto"/>
          <w:sz w:val="28"/>
          <w:szCs w:val="26"/>
        </w:rPr>
        <w:t xml:space="preserve">коррупциогенных</w:t>
      </w:r>
      <w:r>
        <w:rPr>
          <w:b/>
          <w:bCs/>
          <w:color w:val="auto"/>
          <w:sz w:val="28"/>
          <w:szCs w:val="26"/>
        </w:rPr>
        <w:t xml:space="preserve"> признаков</w:t>
      </w:r>
      <w:r>
        <w:rPr>
          <w:sz w:val="28"/>
        </w:rPr>
      </w:r>
      <w:r/>
    </w:p>
    <w:p>
      <w:pPr>
        <w:pStyle w:val="567"/>
        <w:jc w:val="center"/>
        <w:rPr>
          <w:color w:val="auto"/>
          <w:sz w:val="28"/>
          <w:szCs w:val="26"/>
        </w:rPr>
      </w:pPr>
      <w:r>
        <w:rPr>
          <w:b/>
          <w:bCs/>
          <w:color w:val="auto"/>
          <w:sz w:val="28"/>
          <w:szCs w:val="26"/>
        </w:rPr>
      </w:r>
      <w:r>
        <w:rPr>
          <w:b/>
          <w:bCs/>
          <w:color w:val="auto"/>
          <w:sz w:val="28"/>
          <w:szCs w:val="26"/>
        </w:rPr>
      </w:r>
      <w:r/>
    </w:p>
    <w:p>
      <w:pPr>
        <w:ind w:firstLine="709"/>
        <w:jc w:val="both"/>
        <w:spacing w:lineRule="auto" w:line="240" w:after="0"/>
        <w:tabs>
          <w:tab w:val="center" w:pos="426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7.1. В ходе контрольного мероприятия муниципальные контрольно-счетные органы, как правило, выявляют коррупционные риски и проводят анализ действующих правовых актов и учредительных документов юридического лица, регулирующ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их область проверяемых вопросов, и в целом деятельность объекта контроля. При проведении анализа в отношении правовых актов органов местного самоуправления и учредительных документов юридического лица следует руководствоваться пунктом 8 настоящих указаний.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426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7.2. Для выявления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коррупциогенных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признаков в действиях (бездействии) должностных лиц объекта контроля практическую помощь могут оказать выявленные коррупционные риски (в соответствии с пунктом 4 настоящих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указаний) и результаты анализа правовых актов, проведенного в соответствии с пунктом 8.2. настоящих указаний.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426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Наличие коррупционных рисков и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коррупциогенных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лица.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426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7.3. 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Коррупциогенными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признаками в действиях должностных лиц объекта контроля могут быть следующие выявленные при проверке факты: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1560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 широкое (многократное) использование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коррупциогенных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признаков нормативного правового акта для принятия соответствующих решений и осуществления расходов бюджетных средств, получения доходов и использования имущества;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1560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</w:t>
      </w:r>
      <w:r>
        <w:rPr>
          <w:rFonts w:ascii="Times New Roman" w:hAnsi="Times New Roman" w:cs="Times New Roman"/>
          <w:sz w:val="28"/>
          <w:szCs w:val="26"/>
          <w:lang w:eastAsia="ru-RU"/>
        </w:rPr>
        <w:tab/>
        <w:t xml:space="preserve"> необоснованное затягивание решения вопроса сверх устан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1560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 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совершение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 объекта контроля или лица, связанные с ними тесными неформальными отношениями;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1560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 </w:t>
      </w:r>
      <w:r>
        <w:rPr>
          <w:rFonts w:ascii="Times New Roman" w:hAnsi="Times New Roman" w:cs="Times New Roman"/>
          <w:sz w:val="28"/>
          <w:szCs w:val="26"/>
          <w:lang w:eastAsia="ru-RU"/>
        </w:rPr>
        <w:tab/>
        <w:t xml:space="preserve">заключение гражданско-правового договора (контракта) на крайне невыгодных для муниципального учреждения или предприятия условиях (установление в договоре необычно высокой неустойки за просрочку оплаты товаров, работ или услуг, права поставщика в од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ностороннем порядке изменять цену, перечень товаров, работ или услуг, сроки исполнения своих обязательств, установление неконкретных обязательств поставщика, отсутствие мер обеспечения исполнения обязательств поставщиком, исполнителем, подрядчиком и т.п.);</w:t>
      </w:r>
      <w:r>
        <w:rPr>
          <w:sz w:val="28"/>
        </w:rPr>
      </w:r>
      <w:r/>
    </w:p>
    <w:p>
      <w:pPr>
        <w:pStyle w:val="568"/>
        <w:ind w:firstLine="708"/>
        <w:jc w:val="both"/>
        <w:rPr>
          <w:b w:val="false"/>
          <w:bCs w:val="false"/>
          <w:sz w:val="28"/>
          <w:szCs w:val="26"/>
        </w:rPr>
      </w:pPr>
      <w:r>
        <w:rPr>
          <w:b w:val="false"/>
          <w:sz w:val="28"/>
          <w:szCs w:val="26"/>
          <w:lang w:eastAsia="ru-RU"/>
        </w:rPr>
        <w:t xml:space="preserve">- начисление и выплата заработной платы в повышенном размере по сравнению с оплатой труда по аналогичным должностям, работникам, являющимся родственниками должностных лиц объекта контроля или связанными с ними тесными неформальн</w:t>
      </w:r>
      <w:r>
        <w:rPr>
          <w:b w:val="false"/>
          <w:sz w:val="28"/>
          <w:szCs w:val="26"/>
          <w:lang w:eastAsia="ru-RU"/>
        </w:rPr>
        <w:t xml:space="preserve">ыми связями, установление им дополнительных льгот и преимуществ (кроме того, сам факт наличия близкого родства или свойства со служащим, если замещение должности муниципальной службы связано с непосредственной подчиненностью или подконтрольностью одного из</w:t>
      </w:r>
      <w:r>
        <w:rPr>
          <w:b w:val="false"/>
          <w:sz w:val="28"/>
          <w:szCs w:val="26"/>
          <w:lang w:eastAsia="ru-RU"/>
        </w:rPr>
        <w:t xml:space="preserve"> них </w:t>
      </w:r>
      <w:r>
        <w:rPr>
          <w:b w:val="false"/>
          <w:sz w:val="28"/>
          <w:szCs w:val="26"/>
          <w:lang w:eastAsia="ru-RU"/>
        </w:rPr>
        <w:t xml:space="preserve">другому</w:t>
      </w:r>
      <w:r>
        <w:rPr>
          <w:b w:val="false"/>
          <w:sz w:val="28"/>
          <w:szCs w:val="26"/>
          <w:lang w:eastAsia="ru-RU"/>
        </w:rPr>
        <w:t xml:space="preserve"> в соответствии со статьей 13 Федерального закона </w:t>
      </w:r>
      <w:r>
        <w:rPr>
          <w:b w:val="false"/>
          <w:bCs w:val="false"/>
          <w:sz w:val="28"/>
          <w:szCs w:val="26"/>
        </w:rPr>
        <w:t xml:space="preserve">от 02.03.2007г. N 25-ФЗ </w:t>
      </w:r>
      <w:r>
        <w:rPr>
          <w:b w:val="false"/>
          <w:sz w:val="28"/>
          <w:szCs w:val="26"/>
          <w:lang w:eastAsia="ru-RU"/>
        </w:rPr>
        <w:t xml:space="preserve"> «О муниципальной службе в Российской Федерации» является основанием для увольнения муниципального служащего»);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1560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 совершение финан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сово-хозяйственных операций с очевидными даже не для специалиста нарушениями действующего законодательства, т.е. для недопущения которых не требовалось специальных знаний в области права или финансов (например, выдача субсидии или социальной выплаты гражда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нину при отсутствии документов устанавливающих его личность или подтверждающих право на получение субсидии или выплаты; выплата заработной платы или компенсационных выплат не работающему в организации физическому лицу, оплата за счет бюджетных средств услу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г общественного питания, развлечений, транспортных услуг, туристических или санаторно-курортных путевок, приобретение одежды, оплата иных личных нужд в интересах лиц, не имеющих законного права на данные меры профессиональной или социальной защиты и т.п.);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1560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 подписание договоров и платежно-расчетных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1560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 </w:t>
      </w:r>
      <w:r>
        <w:rPr>
          <w:rFonts w:ascii="Times New Roman" w:hAnsi="Times New Roman" w:cs="Times New Roman"/>
          <w:sz w:val="28"/>
          <w:szCs w:val="26"/>
          <w:lang w:eastAsia="ru-RU"/>
        </w:rPr>
        <w:tab/>
        <w:t xml:space="preserve">нахождение дорогостоящего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имущества объекта контроля по месту жительства руководителя или иного должностного лица с ведома руководителя (например, хранение оргтехники в жилом помещении, стоянка служебного автомобиля в жилом дворе или гараже, принадлежащим должностному лицу и т.п.);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1560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 передача имущ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ества,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документов, так и без таковых (фактическое пользование);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1560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 передача в аренду или отчуждение муниципального имущества по ценам значительно ниже рыночных (как по результатам проведенных торгов, так и без них);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1560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 передача муниципального имущества в аренду или доверительное управление без проведения конкурса или аукциона, в случаях, когда обязательность их проведения законодательно установлена;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1560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 нарушения требований  законодательства о закупках, которые могли повлиять на выбор поставщика товаров, работ или услуг;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1560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 приобретение товаров, работ или услуг формально без нарушений требований указанного закона, но при этом: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1560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а) по ценам, значительно выше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рыночных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1560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б) товары, работы и услуги приобретены по рыночным ценам,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но при отсутствии реальной потребности организации в данных товарах, работах или услугах (например,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организации);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1560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в) товары или материальный результат работ или услуг приобретены по рыночным ценам,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но их потребительские свойства, качество или комплектность значительно ниже обычно предъявляемых требований или совсем не позволяют использовать их по назначению (например, физически или морально устаревшее оборудование, истекший срок годности продукции);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1560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 заключение договоров (контрактов) на поставку товаров, работ или услуг для муниципальных нужд, которые предусматривают полную (или в значительной части) предварительную оплату при длительных сроках исполнения обязательств пос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тавщиком, подрядчиком,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1560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 бездействие должностных лиц объекта контроля, являющегося муниципальным заказчиком, при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грубом нарушении поставщиком товаров, работ или услуг условий муниципального контракта (не взыскание неустойки за длительную просрочку исполнения обязательств, причиненных убытков, не обращение в судебные органы для понуждения к исполнению обязательства).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7.4. В ходе контрольных мероприятий могут быть выявлены и иные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коррупциогенные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признаки в действиях должностных лиц объектов контроля, общими характерными чертами которых являются: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а) возможность получения неправомерной материальной выгоды или иных благ контактирующими с должностным лицом юридическими или физическими лицами;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б) действия (бездействие) должностного лица вынуждают неправомерным способом получить причитающиеся по закону юридическому или физическому лицу материальные или иные блага.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</w:r>
      <w:r>
        <w:rPr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8. Выявление </w:t>
      </w:r>
      <w:r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коррупциогенных</w:t>
      </w:r>
      <w:r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признаков в ходе контрольных мероприятий при анализе положений действующих нормативных правовых актов</w:t>
      </w:r>
      <w:r>
        <w:rPr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6"/>
        </w:rPr>
        <w:outlineLvl w:val="2"/>
      </w:pPr>
      <w:r>
        <w:rPr>
          <w:rFonts w:ascii="Times New Roman" w:hAnsi="Times New Roman" w:cs="Times New Roman"/>
          <w:sz w:val="28"/>
          <w:szCs w:val="26"/>
          <w:lang w:eastAsia="ru-RU"/>
        </w:rPr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8.1. При проведении контрольных мероприятий рекомендуется рассмотреть вопрос о наличии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коррупциогенных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признаков в положениях действующего муниципального нормативного правового акта, регулирующего вопросы, являющиеся предметом проверки или экспертно-аналитического мероприятия.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Следует отметить, что нормы, содержащие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коррупциогенные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признаки в исследуемых положениях правового акт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а, как правило, не противоречат действующему законодательству и их наличие следует относить к недостаткам исследуемого документа. Причем, в большинстве случаев такие недостатки не могут быть квалифицированы как несоответствие действующему законодательству.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8.2. Отдельными признаками, свидетельствующими о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коррупциогенном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характере положений нормативных правовых актов, являются: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а) установление широких дискреционных полномочий должностных лиц, т.е. позволяющих принимать различные решения по усмотрению должностного лица («широта административного усмотрения»).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В нормативном правовом акте могут содержаться положения: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851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</w:t>
      </w:r>
      <w:r>
        <w:rPr>
          <w:rFonts w:ascii="Times New Roman" w:hAnsi="Times New Roman" w:cs="Times New Roman"/>
          <w:sz w:val="28"/>
          <w:szCs w:val="26"/>
          <w:lang w:eastAsia="ru-RU"/>
        </w:rPr>
        <w:tab/>
        <w:t xml:space="preserve"> представляющие несколько возможных вариантов решения по выбору должностного лица без точного определения условий для принятия того или иного решения;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851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 содержащие открытый перечень оснований для принятия того или иного решения или открытый перечень документов, необходимых для принятия решения (формулировки «иные необходимые документы или сведения», «в иных случаях», «другие расходы»);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851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 содержащие субъективно-оценочные основания для принятия положительного или о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трицательного решения по соответствующему вопросу (формулировки «сведения не соответствуют действительности», «представлены не в полном объеме», «в случаях нетерпящих отлагательств», «при острой потребности», «допускается в исключительных случаях» и т.п.);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851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</w:t>
      </w:r>
      <w:r>
        <w:rPr>
          <w:rFonts w:ascii="Times New Roman" w:hAnsi="Times New Roman" w:cs="Times New Roman"/>
          <w:sz w:val="28"/>
          <w:szCs w:val="26"/>
          <w:lang w:eastAsia="ru-RU"/>
        </w:rPr>
        <w:tab/>
        <w:t xml:space="preserve"> устанавливающие необоснованно продолжительные сроки (или временные диапазоны), в течение которых должностное лицо должно принять решение в отношении юридического или физического лица;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851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 не предусматривающие никаких сроков для принятия должностным лицом того или иного решения;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851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 устанавливающие продолжительность срока, в течение которого должностным лицом принимается решение в отношении физических или юридических лиц, без указания порядка его исчисления (начала течения срока и т.п.).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б) наличие пробелов в регулировании отдельных вопросов.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В нормативном правовом акте могут отсутствовать нормы, касающиеся того или иного вида деятельности, реализации закрепленной за должностным лицом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функции, четко определенной административной процедуры принятия решения (совершения определенных действий) или употребляться термины и понятия, не имеющие официального толкования и т.п. При этом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,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регулиров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ание указанных вопросов отсутствует и в других действующих нормативных правовых актах. Подобное «упущение» создает возможность для произвольной трактовки нерегулируемой сферы со стороны должностных лиц и совершения ими действий по собственному усмотрению. 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в) наличие в нормативном правовом акте положений, допускающих двойное толкование.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В нормативном правов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ом акте могут использоваться двусмысленные или неустоявшиеся термины, понятия и формулировки, категории оценочного характера, с неясным, неопределенным содержанием, допускающие различные трактовки, и что повышает вероятность произвольного применения нормы.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г) наличие в нормативном правовом акте бланкетных (отсылочных) норм, предполагающих регулирование освещаемых вопросов другими правовыми актами.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В нормативном правовом акте может быть отсылочная норма как к действующим, так и к еще не принятым нормативным правовым актам.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Пр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и этом в действующем акте, на который делается ссылка, может отсутствовать порядок регулирования конкретного вопроса или мера ответственности, к которой отсылает бланкетная норма (например, использование формулировки «несет ответственность, предусмотренную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уголовным законодательством» при отсутствии в Уголовном кодексе Российской Федерации соответствующего основания и мер ответственности, или формулировки «в установленном порядке», тогда как данный порядок ни одним действующим правовым актом не установлен и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не ясно, когда и каким органом власти он должен быть установлен).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Данный недостаток создает условия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для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: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851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 произвольной трактовки нерегулируемой сферы;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851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</w:t>
      </w:r>
      <w:r>
        <w:rPr>
          <w:rFonts w:ascii="Times New Roman" w:hAnsi="Times New Roman" w:cs="Times New Roman"/>
          <w:sz w:val="28"/>
          <w:szCs w:val="26"/>
          <w:lang w:eastAsia="ru-RU"/>
        </w:rPr>
        <w:tab/>
        <w:t xml:space="preserve"> возможности безнаказанного нарушения норм правового акта; 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851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</w:t>
      </w:r>
      <w:r>
        <w:rPr>
          <w:rFonts w:ascii="Times New Roman" w:hAnsi="Times New Roman" w:cs="Times New Roman"/>
          <w:sz w:val="28"/>
          <w:szCs w:val="26"/>
          <w:lang w:eastAsia="ru-RU"/>
        </w:rPr>
        <w:tab/>
        <w:t xml:space="preserve"> умышленного введения в заблуждение физических лиц или представителей юридических лиц относительно правового значения нормы акта. 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В случае отсылки к нормативным правовым актам, которые еще должны быть приняты, необходимо оценить степень обоснованности наличия в исследуемых положениях правового акта отсылочных норм с учётом возможности: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 включения тех норм, которые предполагалось изложить в другом правовом акте, непосредственно в исследуемый правовой акт;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 установления правовым актом основных направлений правового регулирования вопросов, регламентируемых другим правовым актом (определение рамочных положений);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И, кроме того, проанализировать: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851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</w:t>
      </w:r>
      <w:r>
        <w:rPr>
          <w:rFonts w:ascii="Times New Roman" w:hAnsi="Times New Roman" w:cs="Times New Roman"/>
          <w:sz w:val="28"/>
          <w:szCs w:val="26"/>
          <w:lang w:eastAsia="ru-RU"/>
        </w:rPr>
        <w:tab/>
        <w:t xml:space="preserve"> относится ли к полномочиям органа, на который сделана ссылка в бланкетной норме, регулирование соответствующих вопросов;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851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 степень участия этого органа в непосредственной реализации положений принимаемого акта. Передача полномочий разработки и принятия соответс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твующего акта, непосредственно тому органу, который будет впоследствии заниматься его реализацией, способствует созданию условий, удобных в первую очередь для этого органа, что может негативно отразиться на реализации основного нормативного правового акта.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д) наличие коллизий (расхождений, противоречий) между отдельными положениями внутри нормативного правового акта, а также между указанными положениями и нормами действующих нормативных правовых актов равных ему по юридической силе.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Наличие коллизий позволяет должностному лицу произвольно, по собстве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нному усмотрению, выбирать норму, подлежащую применению. Для обнаружения коллизии необходимо провести анализ не только рассматриваемых положений нормативного правового акта, но и нормативных актов различных уровней по сходным отношениям и смежным отраслям.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851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8.3. Перечень вышеуказанных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коррупциогенных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признаков не является исчерпывающим. В ходе проведения анализа конкретного положения нормативного правового акта могут быть установлены иные соответствующим образом обоснованные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коррупциогенные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признаки.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tabs>
          <w:tab w:val="center" w:pos="851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Выявленные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коррупциогенные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признаки указываются в качестве недостатков в заключени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и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муниципального контрольно-счетного органа по результатам контрольного мероприятия, в ходе которого проводился анализ положений нормативного правового акта, в представлениях и информационных сообщениях.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/>
        <w:tabs>
          <w:tab w:val="center" w:pos="851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Запись о выявленных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коррупциогенных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признаках содержит: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/>
        <w:tabs>
          <w:tab w:val="center" w:pos="851" w:leader="none"/>
        </w:tabs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-</w:t>
      </w:r>
      <w:r>
        <w:rPr>
          <w:rFonts w:ascii="Times New Roman" w:hAnsi="Times New Roman" w:cs="Times New Roman"/>
          <w:sz w:val="28"/>
          <w:szCs w:val="26"/>
          <w:lang w:eastAsia="ru-RU"/>
        </w:rPr>
        <w:tab/>
        <w:t xml:space="preserve"> описание выявленных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коррупциогенных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признаков;</w:t>
      </w:r>
      <w:r/>
    </w:p>
    <w:p>
      <w:pPr>
        <w:ind w:left="0" w:right="0" w:firstLine="567"/>
        <w:jc w:val="both"/>
        <w:spacing w:lineRule="auto" w:line="240" w:after="0"/>
        <w:tabs>
          <w:tab w:val="center" w:pos="851" w:leader="none"/>
        </w:tabs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-</w:t>
      </w:r>
      <w:r>
        <w:rPr>
          <w:rFonts w:ascii="Times New Roman" w:hAnsi="Times New Roman" w:cs="Times New Roman"/>
          <w:sz w:val="28"/>
          <w:szCs w:val="26"/>
          <w:lang w:eastAsia="ru-RU"/>
        </w:rPr>
        <w:tab/>
        <w:t xml:space="preserve"> указание на возможные коррупционные правонарушения, иные негативные последствия применения нормативного правового акта;</w:t>
      </w:r>
      <w:r/>
    </w:p>
    <w:p>
      <w:pPr>
        <w:ind w:left="0" w:right="0" w:firstLine="567"/>
        <w:jc w:val="both"/>
        <w:spacing w:lineRule="auto" w:line="240" w:after="0"/>
        <w:tabs>
          <w:tab w:val="center" w:pos="851" w:leader="none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- рекомендации по устранению положений, содержащих коррупционные признаки и (или) их корректировки.</w:t>
      </w:r>
      <w:r>
        <w:rPr>
          <w:sz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p>
      <w:pPr>
        <w:pStyle w:val="567"/>
        <w:ind w:firstLine="708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</w:r>
      <w:r>
        <w:rPr>
          <w:sz w:val="28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type w:val="nextPage"/>
      <w:pgSz w:w="11906" w:h="16838" w:orient="portrait"/>
      <w:pgMar w:top="1134" w:right="850" w:bottom="568" w:left="1701" w:header="708" w:footer="708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SimSun">
    <w:panose1 w:val="02010600030101010101"/>
  </w:font>
  <w:font w:name="Wingdings">
    <w:panose1 w:val="05000000000000000000"/>
  </w:font>
  <w:font w:name="Courier New">
    <w:panose1 w:val="02070309020205020404"/>
  </w:font>
  <w:font w:name="Mangal">
    <w:panose1 w:val="02040503050203030202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9"/>
      <w:jc w:val="center"/>
    </w:pPr>
    <w:fldSimple w:instr="PAGE \* MERGEFORMAT">
      <w:r>
        <w:t xml:space="preserve">1</w:t>
      </w:r>
    </w:fldSimple>
    <w:r/>
    <w:r/>
  </w:p>
  <w:p>
    <w:pPr>
      <w:pStyle w:val="419"/>
    </w:pP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562"/>
      <w:isLgl w:val="false"/>
      <w:suff w:val="nothing"/>
      <w:lvlText w:val=""/>
      <w:lvlJc w:val="left"/>
      <w:pPr>
        <w:ind w:left="432" w:hanging="432"/>
        <w:tabs>
          <w:tab w:val="left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1584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563"/>
    <w:link w:val="562"/>
    <w:uiPriority w:val="9"/>
    <w:rPr>
      <w:rFonts w:ascii="Arial" w:hAnsi="Arial" w:cs="Arial" w:eastAsia="Arial"/>
      <w:sz w:val="40"/>
      <w:szCs w:val="40"/>
    </w:rPr>
  </w:style>
  <w:style w:type="paragraph" w:styleId="393">
    <w:name w:val="Heading 2"/>
    <w:basedOn w:val="561"/>
    <w:next w:val="561"/>
    <w:link w:val="3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4">
    <w:name w:val="Heading 2 Char"/>
    <w:basedOn w:val="563"/>
    <w:link w:val="393"/>
    <w:uiPriority w:val="9"/>
    <w:rPr>
      <w:rFonts w:ascii="Arial" w:hAnsi="Arial" w:cs="Arial" w:eastAsia="Arial"/>
      <w:sz w:val="34"/>
    </w:rPr>
  </w:style>
  <w:style w:type="paragraph" w:styleId="395">
    <w:name w:val="Heading 3"/>
    <w:basedOn w:val="561"/>
    <w:next w:val="561"/>
    <w:link w:val="3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6">
    <w:name w:val="Heading 3 Char"/>
    <w:basedOn w:val="563"/>
    <w:link w:val="395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61"/>
    <w:next w:val="561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3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61"/>
    <w:next w:val="561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3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61"/>
    <w:next w:val="561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3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61"/>
    <w:next w:val="561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3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61"/>
    <w:next w:val="561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3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61"/>
    <w:next w:val="561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3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Title"/>
    <w:basedOn w:val="561"/>
    <w:next w:val="561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3"/>
    <w:link w:val="409"/>
    <w:uiPriority w:val="10"/>
    <w:rPr>
      <w:sz w:val="48"/>
      <w:szCs w:val="48"/>
    </w:rPr>
  </w:style>
  <w:style w:type="paragraph" w:styleId="411">
    <w:name w:val="Subtitle"/>
    <w:basedOn w:val="561"/>
    <w:next w:val="561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3"/>
    <w:link w:val="411"/>
    <w:uiPriority w:val="11"/>
    <w:rPr>
      <w:sz w:val="24"/>
      <w:szCs w:val="24"/>
    </w:rPr>
  </w:style>
  <w:style w:type="paragraph" w:styleId="413">
    <w:name w:val="Quote"/>
    <w:basedOn w:val="561"/>
    <w:next w:val="561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1"/>
    <w:next w:val="561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1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basedOn w:val="563"/>
    <w:link w:val="417"/>
    <w:uiPriority w:val="99"/>
  </w:style>
  <w:style w:type="paragraph" w:styleId="419">
    <w:name w:val="Footer"/>
    <w:basedOn w:val="561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basedOn w:val="563"/>
    <w:link w:val="419"/>
    <w:uiPriority w:val="99"/>
  </w:style>
  <w:style w:type="table" w:styleId="421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1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2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3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4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5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6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7">
    <w:name w:val="Hyperlink"/>
    <w:uiPriority w:val="99"/>
    <w:unhideWhenUsed/>
    <w:rPr>
      <w:color w:val="0000FF" w:themeColor="hyperlink"/>
      <w:u w:val="single"/>
    </w:rPr>
  </w:style>
  <w:style w:type="paragraph" w:styleId="548">
    <w:name w:val="footnote text"/>
    <w:basedOn w:val="561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>
    <w:name w:val="Footnote Text Char"/>
    <w:link w:val="548"/>
    <w:uiPriority w:val="99"/>
    <w:rPr>
      <w:sz w:val="18"/>
    </w:rPr>
  </w:style>
  <w:style w:type="character" w:styleId="550">
    <w:name w:val="footnote reference"/>
    <w:basedOn w:val="563"/>
    <w:uiPriority w:val="99"/>
    <w:unhideWhenUsed/>
    <w:rPr>
      <w:vertAlign w:val="superscript"/>
    </w:rPr>
  </w:style>
  <w:style w:type="paragraph" w:styleId="551">
    <w:name w:val="toc 1"/>
    <w:basedOn w:val="561"/>
    <w:next w:val="561"/>
    <w:uiPriority w:val="39"/>
    <w:unhideWhenUsed/>
    <w:pPr>
      <w:ind w:left="0" w:right="0" w:firstLine="0"/>
      <w:spacing w:after="57"/>
    </w:pPr>
  </w:style>
  <w:style w:type="paragraph" w:styleId="552">
    <w:name w:val="toc 2"/>
    <w:basedOn w:val="561"/>
    <w:next w:val="561"/>
    <w:uiPriority w:val="39"/>
    <w:unhideWhenUsed/>
    <w:pPr>
      <w:ind w:left="283" w:right="0" w:firstLine="0"/>
      <w:spacing w:after="57"/>
    </w:pPr>
  </w:style>
  <w:style w:type="paragraph" w:styleId="553">
    <w:name w:val="toc 3"/>
    <w:basedOn w:val="561"/>
    <w:next w:val="561"/>
    <w:uiPriority w:val="39"/>
    <w:unhideWhenUsed/>
    <w:pPr>
      <w:ind w:left="567" w:right="0" w:firstLine="0"/>
      <w:spacing w:after="57"/>
    </w:pPr>
  </w:style>
  <w:style w:type="paragraph" w:styleId="554">
    <w:name w:val="toc 4"/>
    <w:basedOn w:val="561"/>
    <w:next w:val="561"/>
    <w:uiPriority w:val="39"/>
    <w:unhideWhenUsed/>
    <w:pPr>
      <w:ind w:left="850" w:right="0" w:firstLine="0"/>
      <w:spacing w:after="57"/>
    </w:pPr>
  </w:style>
  <w:style w:type="paragraph" w:styleId="555">
    <w:name w:val="toc 5"/>
    <w:basedOn w:val="561"/>
    <w:next w:val="561"/>
    <w:uiPriority w:val="39"/>
    <w:unhideWhenUsed/>
    <w:pPr>
      <w:ind w:left="1134" w:right="0" w:firstLine="0"/>
      <w:spacing w:after="57"/>
    </w:pPr>
  </w:style>
  <w:style w:type="paragraph" w:styleId="556">
    <w:name w:val="toc 6"/>
    <w:basedOn w:val="561"/>
    <w:next w:val="561"/>
    <w:uiPriority w:val="39"/>
    <w:unhideWhenUsed/>
    <w:pPr>
      <w:ind w:left="1417" w:right="0" w:firstLine="0"/>
      <w:spacing w:after="57"/>
    </w:pPr>
  </w:style>
  <w:style w:type="paragraph" w:styleId="557">
    <w:name w:val="toc 7"/>
    <w:basedOn w:val="561"/>
    <w:next w:val="561"/>
    <w:uiPriority w:val="39"/>
    <w:unhideWhenUsed/>
    <w:pPr>
      <w:ind w:left="1701" w:right="0" w:firstLine="0"/>
      <w:spacing w:after="57"/>
    </w:pPr>
  </w:style>
  <w:style w:type="paragraph" w:styleId="558">
    <w:name w:val="toc 8"/>
    <w:basedOn w:val="561"/>
    <w:next w:val="561"/>
    <w:uiPriority w:val="39"/>
    <w:unhideWhenUsed/>
    <w:pPr>
      <w:ind w:left="1984" w:right="0" w:firstLine="0"/>
      <w:spacing w:after="57"/>
    </w:pPr>
  </w:style>
  <w:style w:type="paragraph" w:styleId="559">
    <w:name w:val="toc 9"/>
    <w:basedOn w:val="561"/>
    <w:next w:val="561"/>
    <w:uiPriority w:val="39"/>
    <w:unhideWhenUsed/>
    <w:pPr>
      <w:ind w:left="2268" w:right="0" w:firstLine="0"/>
      <w:spacing w:after="57"/>
    </w:pPr>
  </w:style>
  <w:style w:type="paragraph" w:styleId="560">
    <w:name w:val="TOC Heading"/>
    <w:uiPriority w:val="39"/>
    <w:unhideWhenUsed/>
  </w:style>
  <w:style w:type="paragraph" w:styleId="561" w:default="1">
    <w:name w:val="Normal"/>
    <w:qFormat/>
    <w:rPr>
      <w:rFonts w:ascii="Calibri" w:hAnsi="Calibri" w:cs="Calibri" w:eastAsia="Times New Roman"/>
    </w:rPr>
    <w:pPr>
      <w:spacing w:lineRule="auto" w:line="276" w:after="200"/>
    </w:pPr>
  </w:style>
  <w:style w:type="paragraph" w:styleId="562">
    <w:name w:val="Heading 1"/>
    <w:basedOn w:val="561"/>
    <w:next w:val="575"/>
    <w:link w:val="566"/>
    <w:qFormat/>
    <w:rPr>
      <w:rFonts w:ascii="Times New Roman" w:hAnsi="Times New Roman" w:cs="Mangal" w:eastAsia="SimSun"/>
      <w:b/>
      <w:bCs/>
      <w:sz w:val="48"/>
      <w:szCs w:val="48"/>
      <w:lang w:eastAsia="ar-SA"/>
    </w:rPr>
    <w:pPr>
      <w:numPr>
        <w:numId w:val="1"/>
      </w:numPr>
      <w:keepNext/>
      <w:spacing w:lineRule="auto" w:line="240" w:after="120" w:before="240"/>
      <w:outlineLvl w:val="0"/>
    </w:pPr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character" w:styleId="566" w:customStyle="1">
    <w:name w:val="Заголовок 1 Знак"/>
    <w:basedOn w:val="563"/>
    <w:link w:val="562"/>
    <w:rPr>
      <w:rFonts w:ascii="Times New Roman" w:hAnsi="Times New Roman" w:cs="Mangal" w:eastAsia="SimSun"/>
      <w:b/>
      <w:bCs/>
      <w:sz w:val="48"/>
      <w:szCs w:val="48"/>
      <w:lang w:eastAsia="ar-SA"/>
    </w:rPr>
  </w:style>
  <w:style w:type="paragraph" w:styleId="567" w:customStyle="1">
    <w:name w:val="Default"/>
    <w:rPr>
      <w:rFonts w:ascii="Times New Roman" w:hAnsi="Times New Roman" w:cs="Times New Roman"/>
      <w:color w:val="000000"/>
      <w:sz w:val="24"/>
      <w:szCs w:val="24"/>
    </w:rPr>
  </w:style>
  <w:style w:type="paragraph" w:styleId="568" w:customStyle="1">
    <w:name w:val="ConsPlusNormal"/>
    <w:rPr>
      <w:rFonts w:ascii="Times New Roman" w:hAnsi="Times New Roman" w:cs="Times New Roman"/>
      <w:b/>
      <w:bCs/>
      <w:sz w:val="28"/>
      <w:szCs w:val="28"/>
    </w:rPr>
  </w:style>
  <w:style w:type="paragraph" w:styleId="569">
    <w:name w:val="List Paragraph"/>
    <w:basedOn w:val="561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570">
    <w:name w:val="No Spacing"/>
    <w:qFormat/>
    <w:rPr>
      <w:rFonts w:ascii="Calibri" w:hAnsi="Calibri" w:cs="Times New Roman" w:eastAsia="Calibri"/>
    </w:rPr>
  </w:style>
  <w:style w:type="character" w:styleId="571" w:customStyle="1">
    <w:name w:val="Font Style12"/>
    <w:basedOn w:val="563"/>
    <w:rPr>
      <w:rFonts w:ascii="Times New Roman" w:hAnsi="Times New Roman" w:cs="Times New Roman"/>
      <w:b/>
      <w:bCs/>
      <w:sz w:val="26"/>
      <w:szCs w:val="26"/>
    </w:rPr>
  </w:style>
  <w:style w:type="character" w:styleId="572" w:customStyle="1">
    <w:name w:val="Font Style14"/>
    <w:rPr>
      <w:rFonts w:ascii="Times New Roman" w:hAnsi="Times New Roman" w:cs="Times New Roman"/>
      <w:b/>
      <w:bCs/>
      <w:sz w:val="22"/>
      <w:szCs w:val="22"/>
    </w:rPr>
  </w:style>
  <w:style w:type="paragraph" w:styleId="573" w:customStyle="1">
    <w:name w:val="Style2"/>
    <w:basedOn w:val="561"/>
    <w:rPr>
      <w:rFonts w:ascii="Times New Roman" w:hAnsi="Times New Roman" w:cs="Times New Roman"/>
      <w:sz w:val="24"/>
      <w:szCs w:val="24"/>
      <w:lang w:eastAsia="ar-SA"/>
    </w:rPr>
    <w:pPr>
      <w:jc w:val="center"/>
      <w:spacing w:lineRule="exact" w:line="274" w:after="0"/>
      <w:widowControl w:val="off"/>
    </w:pPr>
  </w:style>
  <w:style w:type="paragraph" w:styleId="574">
    <w:name w:val="Normal (Web)"/>
    <w:basedOn w:val="561"/>
    <w:qFormat/>
    <w:uiPriority w:val="99"/>
    <w:rPr>
      <w:rFonts w:ascii="Times New Roman" w:hAnsi="Times New Roman" w:cs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75">
    <w:name w:val="Body Text"/>
    <w:basedOn w:val="561"/>
    <w:link w:val="576"/>
    <w:uiPriority w:val="99"/>
    <w:semiHidden/>
    <w:unhideWhenUsed/>
    <w:pPr>
      <w:spacing w:after="120"/>
    </w:pPr>
  </w:style>
  <w:style w:type="character" w:styleId="576" w:customStyle="1">
    <w:name w:val="Основной текст Знак"/>
    <w:basedOn w:val="563"/>
    <w:link w:val="575"/>
    <w:uiPriority w:val="99"/>
    <w:semiHidden/>
    <w:rPr>
      <w:rFonts w:ascii="Calibri" w:hAnsi="Calibri" w:cs="Calibri" w:eastAsia="Times New Roman"/>
    </w:rPr>
  </w:style>
  <w:style w:type="character" w:styleId="577">
    <w:name w:val="Интернет-ссылка"/>
    <w:link w:val="563"/>
    <w:rPr>
      <w:color w:val="000080"/>
      <w:u w:val="single"/>
      <w:lang w:val="en-US" w:bidi="en-US" w:eastAsia="en-US"/>
    </w:rPr>
  </w:style>
  <w:style w:type="paragraph" w:styleId="578">
    <w:name w:val="caaieiaie 2"/>
    <w:basedOn w:val="563"/>
    <w:next w:val="563"/>
    <w:link w:val="563"/>
    <w:rPr>
      <w:rFonts w:ascii="Arial" w:hAnsi="Arial" w:cs="Times New Roman" w:eastAsia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36"/>
      <w:szCs w:val="24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9">
    <w:name w:val="ConsPlusTitle"/>
    <w:link w:val="563"/>
    <w:rPr>
      <w:rFonts w:ascii="Arial" w:hAnsi="Arial" w:cs="Times New Roman" w:eastAsia="Times New Roman"/>
      <w:b/>
      <w:bCs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0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>ЗАГС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10</cp:revision>
  <dcterms:created xsi:type="dcterms:W3CDTF">2017-11-30T05:44:00Z</dcterms:created>
  <dcterms:modified xsi:type="dcterms:W3CDTF">2021-04-02T08:48:11Z</dcterms:modified>
</cp:coreProperties>
</file>