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Отчет</w:t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-57" w:right="0" w:firstLine="907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проведении  внутреннего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контроля  за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соблюдением   Администрацией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Песчанского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сельсовета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Беловского района Курской области  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Style w:val="FontStyle15"/>
          <w:b w:val="false"/>
          <w:bCs w:val="false"/>
          <w:sz w:val="28"/>
          <w:szCs w:val="28"/>
          <w:u w:val="none"/>
        </w:rPr>
        <w:t xml:space="preserve">соблюдение целей и условий предоставления межбюджетных трансфертов   выделенных из бюджета муниципального района» Беловский район»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Курской области.</w:t>
      </w:r>
      <w:r/>
    </w:p>
    <w:p>
      <w:pPr>
        <w:pStyle w:val="ConsPlusNonformat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ConsPlusNonforma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сл. Белая                                                                                         от 16.03.2018г.</w:t>
      </w:r>
      <w:r/>
    </w:p>
    <w:p>
      <w:pPr>
        <w:pStyle w:val="ConsPlusNonforma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6"/>
        <w:tabs>
          <w:tab w:val="left" w:pos="709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>Во исполнение Плана контрольной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органа внутреннего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на 2018г., утвержденного </w:t>
      </w:r>
      <w:r>
        <w:rPr>
          <w:rFonts w:ascii="Times New Roman" w:hAnsi="Times New Roman"/>
          <w:sz w:val="28"/>
          <w:szCs w:val="28"/>
          <w:lang w:val="ru-RU"/>
        </w:rPr>
        <w:t>распоряжением Администрации Беловского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от  14</w:t>
      </w:r>
      <w:r>
        <w:rPr>
          <w:rFonts w:ascii="Times New Roman" w:hAnsi="Times New Roman"/>
          <w:sz w:val="28"/>
          <w:szCs w:val="28"/>
          <w:lang w:val="ru-RU"/>
        </w:rPr>
        <w:t>.12.2017г.</w:t>
      </w:r>
      <w:r>
        <w:rPr>
          <w:rFonts w:ascii="Times New Roman" w:hAnsi="Times New Roman"/>
          <w:sz w:val="28"/>
          <w:szCs w:val="28"/>
        </w:rPr>
        <w:t xml:space="preserve"> № 263-</w:t>
      </w:r>
      <w:r>
        <w:rPr>
          <w:rFonts w:ascii="Times New Roman" w:hAnsi="Times New Roman"/>
          <w:sz w:val="28"/>
          <w:szCs w:val="28"/>
          <w:lang w:val="ru-RU"/>
        </w:rPr>
        <w:t>р, на</w:t>
      </w:r>
      <w:r>
        <w:rPr>
          <w:rFonts w:ascii="Times New Roman" w:hAnsi="Times New Roman"/>
          <w:sz w:val="28"/>
          <w:szCs w:val="28"/>
        </w:rPr>
        <w:t xml:space="preserve"> основании </w:t>
      </w:r>
      <w:r>
        <w:rPr>
          <w:rFonts w:ascii="Times New Roman" w:hAnsi="Times New Roman"/>
          <w:sz w:val="28"/>
          <w:szCs w:val="28"/>
          <w:lang w:val="ru-RU"/>
        </w:rPr>
        <w:t>распоряжения Администрации Беловского района Курс</w:t>
      </w:r>
      <w:r>
        <w:rPr>
          <w:rFonts w:ascii="Times New Roman" w:hAnsi="Times New Roman"/>
          <w:sz w:val="28"/>
          <w:szCs w:val="28"/>
        </w:rPr>
        <w:t>кой области от 24</w:t>
      </w:r>
      <w:r>
        <w:rPr>
          <w:rFonts w:ascii="Times New Roman" w:hAnsi="Times New Roman"/>
          <w:sz w:val="28"/>
          <w:szCs w:val="28"/>
          <w:lang w:val="ru-RU"/>
        </w:rPr>
        <w:t>.01.2018г.</w:t>
      </w:r>
      <w:r>
        <w:rPr>
          <w:rFonts w:ascii="Times New Roman" w:hAnsi="Times New Roman"/>
          <w:sz w:val="28"/>
          <w:szCs w:val="28"/>
        </w:rPr>
        <w:t xml:space="preserve"> № 9-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ведущим специалистом - экспертом по внутреннему муниципальному финансовому контролю (по переданным полномочиям) Администрации Беловского района Курской области Звягинцевой Е.В.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 xml:space="preserve">а проверка Администрации Песчанского сельсовета  Беловского района Курской области. </w:t>
      </w:r>
      <w:r/>
    </w:p>
    <w:p>
      <w:pPr>
        <w:pStyle w:val="Style16"/>
        <w:tabs>
          <w:tab w:val="left" w:pos="709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Тема проверки: соблюдение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Style w:val="FontStyle15"/>
          <w:rFonts w:ascii="Times New Roman" w:hAnsi="Times New Roman"/>
          <w:sz w:val="28"/>
          <w:szCs w:val="28"/>
          <w:lang w:val="ru-RU"/>
        </w:rPr>
        <w:t>соблюдение целей и условий предоставления межбюджетных трансфертов выделенных из бюджета муниципального района «Беловский район» Курской области.</w:t>
      </w:r>
      <w:r/>
    </w:p>
    <w:p>
      <w:pPr>
        <w:pStyle w:val="Style16"/>
        <w:tabs>
          <w:tab w:val="left" w:pos="709" w:leader="none"/>
        </w:tabs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Проверка проведена за период деятельности с 01.01.2016г. по 31.01.2018г.                   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проведения внутреннего муниципального финансового контроля: с 05.02.2018г. по 16.03.2018г.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Методы проведения внутреннего муниципального финансового контроля: </w:t>
      </w:r>
      <w:r>
        <w:rPr>
          <w:rFonts w:cs="Times New Roman" w:ascii="Times New Roman" w:hAnsi="Times New Roman"/>
          <w:sz w:val="28"/>
          <w:szCs w:val="28"/>
          <w:u w:val="none"/>
        </w:rPr>
        <w:t>камеральная проверка.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Перечень вопросов, изученных в ходе внутреннего муниципального финансового контроля: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1. Общие сведения о проверяемом учреждении. Наличие распоряжения об утверждении учетной политики учреждения, его соответствие требованиям действующего законодательства.    </w:t>
      </w:r>
      <w:r/>
    </w:p>
    <w:p>
      <w:pPr>
        <w:pStyle w:val="Normal"/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</w:rPr>
        <w:t>Анализ исполнения доходной и расходной части бюджета.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Соответствие кассовых и фактических расходов по </w:t>
      </w:r>
      <w:r>
        <w:rPr>
          <w:rFonts w:ascii="Times New Roman" w:hAnsi="Times New Roman"/>
          <w:sz w:val="28"/>
          <w:szCs w:val="28"/>
        </w:rPr>
        <w:t xml:space="preserve">статьям бюджетной классификации лимитам бюджетных обязательств и доведенным объемам финансирования. Правильность отнесения кассовых и фактических расходов на соответствующие группы видов расходов. Способ  проверки - выборочно.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3. Внутренний муниципальный финансовый контроль</w:t>
      </w:r>
      <w:r>
        <w:rPr>
          <w:rFonts w:cs="Times New Roman" w:ascii="Times New Roman" w:hAnsi="Times New Roman"/>
          <w:bCs/>
          <w:sz w:val="28"/>
          <w:szCs w:val="28"/>
        </w:rPr>
        <w:t xml:space="preserve"> ведения кассовых операций. Способ  </w:t>
      </w:r>
      <w:r>
        <w:rPr>
          <w:rFonts w:cs="Times New Roman" w:ascii="Times New Roman" w:hAnsi="Times New Roman"/>
          <w:sz w:val="28"/>
          <w:szCs w:val="28"/>
        </w:rPr>
        <w:t>проверки - сплошной.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4. Внутренний муниципальный финансовый контроль операций, осуществляемых по безналичному расчету. </w:t>
      </w:r>
      <w:r>
        <w:rPr>
          <w:rFonts w:cs="Times New Roman" w:ascii="Times New Roman" w:hAnsi="Times New Roman"/>
          <w:bCs/>
          <w:sz w:val="28"/>
          <w:szCs w:val="28"/>
        </w:rPr>
        <w:t xml:space="preserve">Способ  </w:t>
      </w:r>
      <w:r>
        <w:rPr>
          <w:rFonts w:cs="Times New Roman" w:ascii="Times New Roman" w:hAnsi="Times New Roman"/>
          <w:sz w:val="28"/>
          <w:szCs w:val="28"/>
        </w:rPr>
        <w:t>проверки - сплошной.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5. Внутренний муниципальный финансовый контроль расчетов с подотчетными лицами. Способ  проверки - выборочно. 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6. Внутренний муниципальный финансовый контроль расчетов с персоналом по оплате труда. Способ проверки - выборочно.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7. Внутренний муниципальный финансовый контроль расчетов с поставщиками и подрядчиками. Состояние кредиторской и дебиторской задолженности.  Способ проверки - выборочно.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8. Внутренний муниципальный финансовый контроль поступления и учета основных средств. Осуществление контроля за сохранностью и использованием муниципального имущества закрепленного на праве оперативного управления. Учет поступления и списания товарно-материальных запасов. Способ  проверки - выборочно.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9. Содержание и использование служебного транспортного средства. Правильность учета и списание ГСМ.  Способ проверки - выборочно.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10. Соответствие ведения бухгалтерского учета требованиям, изложенным в инструкции по бюджетному учету, утвержденной приказом Минфина Российской Федерации. Внутренний муниципальный финансовый контроль порядка формирования и представления годовой (квартальной) бухгалтерской отчетности. Способ  проверки - выборочно. 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11. Соблюдения целей и условий предоставления межбюджетных трансфертов, выделенных  из бюджета муниципального района «Беловский район» Курской области. </w:t>
      </w:r>
      <w:r>
        <w:rPr>
          <w:rFonts w:cs="Times New Roman" w:ascii="Times New Roman" w:hAnsi="Times New Roman"/>
          <w:bCs/>
          <w:sz w:val="28"/>
          <w:szCs w:val="28"/>
        </w:rPr>
        <w:t xml:space="preserve">Способ  </w:t>
      </w:r>
      <w:r>
        <w:rPr>
          <w:rFonts w:cs="Times New Roman" w:ascii="Times New Roman" w:hAnsi="Times New Roman"/>
          <w:sz w:val="28"/>
          <w:szCs w:val="28"/>
        </w:rPr>
        <w:t>проверки - сплошной.</w:t>
      </w:r>
      <w:r/>
    </w:p>
    <w:p>
      <w:pPr>
        <w:pStyle w:val="ConsPlusNonformat"/>
        <w:spacing w:lineRule="auto" w:line="240" w:before="0" w:after="0"/>
        <w:ind w:left="0" w:right="0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В ходе проведения проверки установлено следующее.</w:t>
      </w:r>
      <w:r/>
    </w:p>
    <w:p>
      <w:pPr>
        <w:pStyle w:val="Style16"/>
        <w:widowControl/>
        <w:tabs>
          <w:tab w:val="left" w:pos="0" w:leader="none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Песчанского сельсовета  Беловского района Курской области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далее Администрация Песчанского  сельсовета) в соответствии  с Уставом  муниципального образования «Песчанский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  <w:lang w:val="ru-RU"/>
        </w:rPr>
        <w:t>исполнительно — распорядительным органом муниципального образования «Песчанский сельсовет»  Беловского района Курской области.</w:t>
      </w:r>
      <w:r/>
    </w:p>
    <w:p>
      <w:pPr>
        <w:pStyle w:val="Style16"/>
        <w:tabs>
          <w:tab w:val="left" w:pos="426" w:leader="none"/>
        </w:tabs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Песчанского сельсовета осуществляет полномочия исполнительного органа местного самоуправления муниципального образования «Песчанский сельсовет» Беловского района Курской области.</w:t>
      </w:r>
      <w:r/>
    </w:p>
    <w:p>
      <w:pPr>
        <w:pStyle w:val="Normal"/>
        <w:shd w:fill="FFFFFF" w:val="clear"/>
        <w:tabs>
          <w:tab w:val="left" w:pos="426" w:leader="none"/>
        </w:tabs>
        <w:spacing w:lineRule="auto" w:line="240" w:before="0" w:after="0"/>
        <w:ind w:left="77" w:right="91" w:firstLine="542"/>
        <w:jc w:val="both"/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Администрация 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>Песчанского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сельсовета </w:t>
      </w:r>
      <w:r>
        <w:rPr>
          <w:rFonts w:cs="Times New Roman" w:ascii="Times New Roman" w:hAnsi="Times New Roman"/>
          <w:sz w:val="28"/>
          <w:szCs w:val="28"/>
        </w:rPr>
        <w:t xml:space="preserve"> является юридическим лицом, имеет печать с изображением Государственного герба Российской Федерации, свое наименование, имеет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самостоятельный баланс, в своей деятельности руководствуется Конституцией </w:t>
      </w:r>
      <w:r>
        <w:rPr>
          <w:rFonts w:cs="Times New Roman" w:ascii="Times New Roman" w:hAnsi="Times New Roman"/>
          <w:spacing w:val="-2"/>
          <w:sz w:val="28"/>
          <w:szCs w:val="28"/>
        </w:rPr>
        <w:t>Российской Федерации, Гражданским кодексом Российской Федерации, иными федеральными законами, законами Курской области, иными правовыми актами,</w:t>
      </w:r>
      <w:r>
        <w:rPr>
          <w:rFonts w:cs="Times New Roman" w:ascii="Times New Roman" w:hAnsi="Times New Roman"/>
          <w:sz w:val="28"/>
          <w:szCs w:val="28"/>
        </w:rPr>
        <w:t xml:space="preserve"> Уставом.</w:t>
      </w:r>
      <w:r/>
    </w:p>
    <w:p>
      <w:pPr>
        <w:pStyle w:val="Normal"/>
        <w:shd w:fill="FFFFFF" w:val="clear"/>
        <w:tabs>
          <w:tab w:val="left" w:pos="426" w:leader="none"/>
        </w:tabs>
        <w:spacing w:lineRule="auto" w:line="240" w:before="0" w:after="0"/>
        <w:ind w:left="77" w:right="91" w:firstLine="542"/>
        <w:jc w:val="both"/>
      </w:pPr>
      <w:r>
        <w:rPr>
          <w:rFonts w:ascii="Times New Roman" w:hAnsi="Times New Roman"/>
          <w:sz w:val="28"/>
          <w:szCs w:val="28"/>
          <w:lang w:val="ru-RU"/>
        </w:rPr>
        <w:t>Администрация Песчанского сельсовета</w:t>
      </w:r>
      <w:r>
        <w:rPr>
          <w:rFonts w:ascii="Times New Roman" w:hAnsi="Times New Roman"/>
          <w:sz w:val="28"/>
          <w:szCs w:val="28"/>
        </w:rPr>
        <w:t xml:space="preserve"> зарегистрирован в едином государственном реестре юридических лиц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государственным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регистрационным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номером</w:t>
      </w:r>
      <w:r>
        <w:rPr>
          <w:rFonts w:ascii="Times New Roman" w:hAnsi="Times New Roman"/>
          <w:sz w:val="28"/>
          <w:szCs w:val="28"/>
        </w:rPr>
        <w:t xml:space="preserve"> 1024600784460, свидетельство от 4 декабря 2002г. ИН</w:t>
      </w:r>
      <w:r>
        <w:rPr>
          <w:rFonts w:ascii="Times New Roman" w:hAnsi="Times New Roman"/>
          <w:sz w:val="28"/>
          <w:szCs w:val="28"/>
          <w:lang w:val="ru-RU"/>
        </w:rPr>
        <w:t>Н 4601000411</w:t>
      </w:r>
      <w:r>
        <w:rPr>
          <w:rFonts w:ascii="Times New Roman" w:hAnsi="Times New Roman"/>
          <w:sz w:val="28"/>
          <w:szCs w:val="28"/>
        </w:rPr>
        <w:t xml:space="preserve">, КПП 460101001, ОКПО 28984133, </w:t>
      </w:r>
      <w:r>
        <w:rPr>
          <w:rFonts w:ascii="Times New Roman" w:hAnsi="Times New Roman"/>
          <w:sz w:val="28"/>
          <w:szCs w:val="28"/>
          <w:lang w:val="ru-RU"/>
        </w:rPr>
        <w:t xml:space="preserve">ОКАТО 38202824000, ОКТМО 38202854, ОКОГУ 3300500, </w:t>
      </w:r>
      <w:r>
        <w:rPr>
          <w:rFonts w:ascii="Times New Roman" w:hAnsi="Times New Roman"/>
          <w:sz w:val="28"/>
          <w:szCs w:val="28"/>
        </w:rPr>
        <w:t xml:space="preserve">ОКФС </w:t>
      </w:r>
      <w:r>
        <w:rPr>
          <w:rFonts w:ascii="Times New Roman" w:hAnsi="Times New Roman"/>
          <w:sz w:val="28"/>
          <w:szCs w:val="28"/>
          <w:lang w:val="ru-RU"/>
        </w:rPr>
        <w:t>14,</w:t>
      </w:r>
      <w:r>
        <w:rPr>
          <w:rFonts w:ascii="Times New Roman" w:hAnsi="Times New Roman"/>
          <w:sz w:val="28"/>
          <w:szCs w:val="28"/>
        </w:rPr>
        <w:t xml:space="preserve"> ОКВЭД 75.11.32 (</w:t>
      </w:r>
      <w:r>
        <w:rPr>
          <w:rFonts w:ascii="Times New Roman" w:hAnsi="Times New Roman"/>
          <w:sz w:val="28"/>
          <w:szCs w:val="28"/>
          <w:lang w:val="ru-RU"/>
        </w:rPr>
        <w:t>деятельность органов местного самоуправления поселковых и сельских населенных пунктов)</w:t>
      </w:r>
      <w:r>
        <w:rPr>
          <w:rFonts w:ascii="Times New Roman" w:hAnsi="Times New Roman"/>
          <w:sz w:val="28"/>
          <w:szCs w:val="28"/>
        </w:rPr>
        <w:t xml:space="preserve">  Юридический адрес </w:t>
      </w:r>
      <w:r>
        <w:rPr>
          <w:rFonts w:ascii="Times New Roman" w:hAnsi="Times New Roman"/>
          <w:sz w:val="28"/>
          <w:szCs w:val="28"/>
          <w:lang w:val="ru-RU"/>
        </w:rPr>
        <w:t>Администрации  Песчанского 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307925, Курская обл, Беловский р-н, с. Песчаное ул. Центральная д. 56</w:t>
      </w:r>
      <w:r/>
    </w:p>
    <w:p>
      <w:pPr>
        <w:pStyle w:val="Style16"/>
        <w:tabs>
          <w:tab w:val="left" w:pos="426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Форма собственности -  </w:t>
      </w:r>
      <w:r>
        <w:rPr>
          <w:rFonts w:ascii="Times New Roman" w:hAnsi="Times New Roman"/>
          <w:sz w:val="28"/>
          <w:szCs w:val="28"/>
          <w:lang w:val="ru-RU"/>
        </w:rPr>
        <w:t>муниципальная собственность муниципального образования «Песчанский  сельсовет» Беловского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Ответственными за финансово-хозяйственную деятельность Администрации  Песчанского сельсовета в проверяемом периоде являлись: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Глава  Песчанского сельсовета  –  Тарасенко Татьяна Николаевна весь проверяемый период.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Начальник  отдела администрации - главный бухгалтер –  Звягина Валентина Михайловна весь проверяемый период.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708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ведении главного распорядителя средств находятся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муниципальное казённое учреждение культуры «Песчанский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сельский дом культуры</w:t>
      </w:r>
      <w:r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МКУК «Песчанский СДК») </w:t>
      </w:r>
      <w:r>
        <w:rPr>
          <w:rFonts w:ascii="Times New Roman" w:hAnsi="Times New Roman"/>
          <w:color w:val="000000"/>
          <w:sz w:val="28"/>
          <w:szCs w:val="28"/>
        </w:rPr>
        <w:t xml:space="preserve">  зарегистрирован в едином государственном реестре юридических лиц за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государственным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регистрационным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номером 1044624002390, свидетельство от 18 августа 2004г. ИНН 4601004494, КПП 460101001,  ОКПО 11099958, ОКТМО 38602454101,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ОКАТО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38202854. </w:t>
      </w:r>
      <w:r>
        <w:rPr>
          <w:rFonts w:ascii="Times New Roman" w:hAnsi="Times New Roman"/>
          <w:color w:val="000000"/>
          <w:sz w:val="28"/>
          <w:szCs w:val="28"/>
        </w:rPr>
        <w:t xml:space="preserve"> Юридический адрес: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307925, Курская обл, Беловский р-н, с. Песчаное ул. Центральная д. 62.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 видом деятельности является предоставление прочих персональных услуг.  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Ответственными за финансово-хозяйственную деятельность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МКУК «Песчанский СДК»  в проверяемом периоде являлись: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0"/>
          <w:lang w:val="ru-RU"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Директор МКУК «Песчанский СДК» - Козьмина Нина Алексеевна по 11 сентября 2017г.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Директор МКУК «Песчанский СДК» - Кобозева Лилия Николаевна  с 4 октября 2017г. до конца проверяемого периода.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Форма ведения бухгалтерского учета и обработки учетной информации, формирование регистров бухгалтерского учета, а также отражения хозяйственных операций по соответствующим счетам рабочего плана счетов Администрацией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Песчанского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сельсовета осуществляются  на бумажном носителе без применением автоматизированной системы «1С: Бухгалтерия государственного учреждения ».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40" w:before="0" w:after="0"/>
        <w:ind w:left="0" w:right="0" w:firstLine="652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В проверяемом периоде бюджетный процесс Администрации   Песчанского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сельсовета осуществлялся с нарушением отдельных требований бюджетного законодательства РФ и иных нормативно-правовых актов:</w:t>
      </w:r>
      <w:r/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 xml:space="preserve">нарушение правильности отнесения кассовых и фактических расходов по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</w:rPr>
        <w:t>подгрупп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>е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</w:rPr>
        <w:t xml:space="preserve"> видов расходов 240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>«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</w:rPr>
        <w:t>Иные закупки товаров, работ и услуг для обеспечения государственных (муниципальных) нужд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 xml:space="preserve">» по  оплате государственной пошлины, неустойки за ненадлежащее исполнение обязательств  по решению арбитражного суда на сумму 2 580,21 руб.,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 xml:space="preserve"> по оплате членских взносов  на сумму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en-US"/>
        </w:rPr>
        <w:t>2420,00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 xml:space="preserve"> руб.,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по приобретению картриджа для принтера на сумму 985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,00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руб.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 xml:space="preserve"> коду видов расходов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244 «Прочая закупка товаров, работ и услуг для обеспечения государственных (муниципальных) нужд»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 xml:space="preserve">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 н,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возмещение судебных издержек истцам (государственной пошлины и иных издержек, связанных с рассмотрением дел в судах), а также уплата пеней и штрафов по государственным (муниципальным) контрактам на поставку товаров, выполнение работ, оказание услуг для государственных (муниципальных) нужд относится к виду расходов 831 «Исполнение судебных актов Российской Федерации и мировых соглашений по возмещению причиненного вреда».,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расходы по оплате  платежей в форме паевых, членских и иных взносов относить к виду расходов 853 «Уплата иных платежей»,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расходы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  подлежат отражению по виду расходов 242 «Закупка товаров, работ, услуг в сфере информационно-коммуникационных технологий»;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нарушение правильности отнесения кассовых и фактических расходов по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подгрупп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видов расходов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850 «Уплата налогов, сборов и иных платежей»: по оплате   пени  по  земельному налогу, страховым взносам   в ПФ РФ  на сумму 134,19 руб.,  коду видов расходов 852 «Уплата прочих налогов, сборов».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 н,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расходы на оплату штрафов (в том числе административных), пени (в том числе за несвоевременную уплату налогов и сборов)  подлежат  отражению по виду расходов 853 «Уплата иных платежей».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Calibri" w:cs="Times New Roman" w:eastAsiaTheme="minorHAnsi"/>
          <w:color w:val="000000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нарушение ст.34 БК РФ уплата пени, что является неэффективным использованием средств  бюджета;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40" w:before="0" w:after="0"/>
        <w:ind w:left="0" w:right="0" w:firstLine="652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нарушение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п. 1 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риказ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Минфи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shd w:fill="auto" w:val="clear"/>
        </w:rPr>
        <w:t xml:space="preserve">на России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от 30.03.2015 N 52н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составление авансового отчета  не по унифицированной форме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0504505,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записка-расчет об исчислении среднего заработка при предоставлении отпуска, увольнении и других случаях   велась не по унифицированной форме 0504425,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по результатам  инвентаризации не составлялся акт о результатах инвентаризации  по унифицированной форме  0504835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;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нарушение требований  Постановления Госкомстата РФ от 05.01.2004г. N 1 «Об утверждении унифицированных форм первичной учетной документации по учету труда и его оплаты», штатное расписание утверждалось не по  унифицированной форме N Т-3.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- отпускные выплаты главы Администрации Песчанского сельсовета Беловского района Курской области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ru-RU"/>
        </w:rPr>
        <w:t>Тарасенко Т.Н. в июне 2017г. завышены на 783,66 руб., отпускные  выплаты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Пархоменко С.А.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ru-RU"/>
        </w:rPr>
        <w:t>. в июле 2017г.,  завышена   на 800,00 руб., в сентябре 2017г.  завышены на 41,15 руб.;</w:t>
      </w:r>
      <w:r/>
    </w:p>
    <w:p>
      <w:pPr>
        <w:pStyle w:val="Style16"/>
        <w:tabs>
          <w:tab w:val="left" w:pos="9356" w:leader="none"/>
        </w:tabs>
        <w:spacing w:lineRule="auto" w:line="240" w:before="0" w:after="0"/>
        <w:ind w:left="0" w:right="0" w:firstLine="737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ст. 136 Трудового кодекса Российской Федерации, оплата заработной платы один раз в месяц, оплаты отпуска позднее чем за три дня до его начала;</w:t>
      </w:r>
      <w:r/>
    </w:p>
    <w:p>
      <w:pPr>
        <w:pStyle w:val="Style16"/>
        <w:tabs>
          <w:tab w:val="left" w:pos="9356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требований Гражданского кодекса Российской Федерации (ст. 709, 720, 779, 783), содержание договора гражданско - правового характера не соответствует требованиям гражданского законодательства;</w:t>
      </w:r>
      <w:r/>
    </w:p>
    <w:p>
      <w:pPr>
        <w:pStyle w:val="Style25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п 1. ст 743 Гражданского Кодекса Российской Федерации,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ыполнение  работ по отделке здания, без документов - обоснований ремонтных работ  и без составления сметной документации.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, определяющей цену работ;</w:t>
      </w:r>
      <w:r/>
    </w:p>
    <w:p>
      <w:pPr>
        <w:pStyle w:val="Style16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п. 45 Инструкции, утвержденной приказом Минфина России от 01.12.2010 г. № 157н, группировка основных средств по соответствующим счетам Единого плана счетов бухгалтерского учета осуществляется  не в соответствии с разделами классификации, установленной Общероссийским классификатором основных фондов ОК 013-94, утвержденным постановлением Госстандарта Российской Федерации от 26.12.1994 г. № 359;</w:t>
      </w:r>
      <w:r/>
    </w:p>
    <w:p>
      <w:pPr>
        <w:pStyle w:val="Normal"/>
        <w:shd w:fill="FFFFFF" w:val="clear"/>
        <w:tabs>
          <w:tab w:val="left" w:pos="9214" w:leader="none"/>
          <w:tab w:val="left" w:pos="9356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- нарушение требований, установленных пп.  38, 39, 41, 45  Инструкции 01.12.2010 г. № 157н,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ru-RU"/>
        </w:rPr>
        <w:t xml:space="preserve"> на аналитическом счете 105.00 «Материальные запасы»  учитывались огнетушители ОП-4,  подлежащие учету на аналитическом счете 101.34 ««Машины и оборудование – иное движимое имущество учреждения»;</w:t>
      </w:r>
      <w:r/>
    </w:p>
    <w:p>
      <w:pPr>
        <w:pStyle w:val="Normal"/>
        <w:widowControl/>
        <w:shd w:fill="FFFFFF" w:val="clear"/>
        <w:tabs>
          <w:tab w:val="left" w:pos="9214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14" w:right="29" w:firstLine="538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ru-RU"/>
        </w:rPr>
        <w:t xml:space="preserve">- нарушение требований приказа Министерства Транспорта РФ от 18.09.2008 г. № 152 «Об утверждении обязательных реквизитов и порядка заполнения путевых листов»,  в путевом листе не указаны  показания спидометра при выезде и возвращении,  адрес подачи,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2"/>
          <w:sz w:val="28"/>
          <w:szCs w:val="28"/>
          <w:shd w:fill="auto" w:val="clear"/>
          <w:lang w:val="ru-RU"/>
        </w:rPr>
        <w:t xml:space="preserve"> время выезда и возврата в гараж.</w:t>
      </w:r>
      <w:r/>
    </w:p>
    <w:p>
      <w:pPr>
        <w:pStyle w:val="Normal"/>
        <w:shd w:fill="FFFFFF" w:val="clear"/>
        <w:tabs>
          <w:tab w:val="left" w:pos="9214" w:leader="none"/>
          <w:tab w:val="left" w:pos="9356" w:leader="none"/>
        </w:tabs>
        <w:spacing w:lineRule="auto" w:line="240" w:before="0" w:after="0"/>
        <w:ind w:left="34" w:right="10" w:firstLine="706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3"/>
          <w:sz w:val="28"/>
          <w:szCs w:val="28"/>
          <w:shd w:fill="auto" w:val="clear"/>
          <w:lang w:val="ru-RU" w:eastAsia="zh-CN" w:bidi="ar-SA"/>
        </w:rPr>
        <w:t xml:space="preserve">- нарушение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ru-RU" w:eastAsia="zh-CN" w:bidi="ar-SA"/>
        </w:rPr>
        <w:t xml:space="preserve">требований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>приложения №2</w:t>
      </w:r>
      <w:bookmarkStart w:id="0" w:name="00E799C0-E3BA-420D-89DF-8CF8EA7C34A71"/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 xml:space="preserve">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ru-RU" w:eastAsia="zh-CN" w:bidi="ar-SA"/>
        </w:rPr>
        <w:t>распоряжению Минтранса РФ от 14.03.2008г. №АМ-23-р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3"/>
          <w:sz w:val="28"/>
          <w:szCs w:val="28"/>
          <w:shd w:fill="auto" w:val="clear"/>
          <w:lang w:val="ru-RU" w:eastAsia="zh-CN" w:bidi="ar-SA"/>
        </w:rPr>
        <w:t xml:space="preserve">   при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 xml:space="preserve">списании ГСМ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3"/>
          <w:sz w:val="28"/>
          <w:szCs w:val="28"/>
          <w:shd w:fill="auto" w:val="clear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 xml:space="preserve">в холодное время года предельная величина зимних надбавок не более 10 % 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3"/>
          <w:sz w:val="28"/>
          <w:szCs w:val="28"/>
          <w:shd w:fill="auto" w:val="clear"/>
          <w:lang w:val="ru-RU" w:eastAsia="zh-CN" w:bidi="ar-SA"/>
        </w:rPr>
        <w:t>Администрации Песчанского сельсовета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 xml:space="preserve"> не применя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>лась.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94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проведенной проверки в 2-х экземплярах составлен акт внутреннего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контроля </w:t>
      </w:r>
      <w:r>
        <w:rPr>
          <w:rFonts w:cs="Times New Roman" w:ascii="Times New Roman" w:hAnsi="Times New Roman"/>
          <w:sz w:val="28"/>
          <w:szCs w:val="28"/>
        </w:rPr>
        <w:t xml:space="preserve"> соблюдения     Администрацией </w:t>
      </w:r>
      <w:r>
        <w:rPr>
          <w:rFonts w:cs="Times New Roman" w:ascii="Times New Roman" w:hAnsi="Times New Roman"/>
          <w:sz w:val="28"/>
          <w:szCs w:val="28"/>
        </w:rPr>
        <w:t>Песчанского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Беловского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соблюдение целей и условий предоставления межбюджетных трансфертов   выделенных из бюджета муниципального района» Беловский район» Курской области</w:t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964"/>
        <w:jc w:val="both"/>
      </w:pPr>
      <w:r>
        <w:rPr>
          <w:rFonts w:cs="Times New Roman" w:ascii="Times New Roman" w:hAnsi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- эксперт 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по внутреннему муниципальному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финансовому контролю (по 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переданным полномочиям)  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Администрации Беловского района</w:t>
      </w:r>
      <w:r/>
    </w:p>
    <w:p>
      <w:pPr>
        <w:pStyle w:val="Style16"/>
        <w:spacing w:lineRule="auto" w:line="240" w:before="0" w:after="0"/>
        <w:jc w:val="both"/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Е.В. Звягинцева</w:t>
      </w:r>
      <w:r/>
    </w:p>
    <w:sectPr>
      <w:type w:val="nextPage"/>
      <w:pgSz w:w="11906" w:h="16838"/>
      <w:pgMar w:left="1559" w:right="1276" w:header="0" w:top="96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basedOn w:val="DefaultParagraphFont"/>
    <w:link w:val="a4"/>
    <w:uiPriority w:val="99"/>
    <w:rsid w:val="007364e3"/>
    <w:rPr/>
  </w:style>
  <w:style w:type="character" w:styleId="Style12" w:customStyle="1">
    <w:name w:val="Нижний колонтитул Знак"/>
    <w:basedOn w:val="DefaultParagraphFont"/>
    <w:link w:val="a6"/>
    <w:uiPriority w:val="99"/>
    <w:rsid w:val="007364e3"/>
    <w:rPr/>
  </w:style>
  <w:style w:type="character" w:styleId="Style13" w:customStyle="1">
    <w:name w:val="Текст выноски Знак"/>
    <w:basedOn w:val="DefaultParagraphFont"/>
    <w:link w:val="a9"/>
    <w:uiPriority w:val="99"/>
    <w:semiHidden/>
    <w:rsid w:val="00772245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rPr/>
  </w:style>
  <w:style w:type="character" w:styleId="FontStyle15">
    <w:name w:val="Font Style15"/>
    <w:basedOn w:val="Style14"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4"/>
    <w:rPr>
      <w:rFonts w:ascii="Times New Roman" w:hAnsi="Times New Roman" w:cs="Times New Roman"/>
      <w:b/>
      <w:bCs/>
      <w:sz w:val="26"/>
      <w:szCs w:val="26"/>
    </w:rPr>
  </w:style>
  <w:style w:type="character" w:styleId="5">
    <w:name w:val="Основной шрифт абзаца5"/>
    <w:rPr/>
  </w:style>
  <w:style w:type="character" w:styleId="Appleconvertedspace">
    <w:name w:val="apple-converted-space"/>
    <w:basedOn w:val="5"/>
    <w:rPr/>
  </w:style>
  <w:style w:type="character" w:styleId="WW8Num5z0">
    <w:name w:val="WW8Num5z0"/>
    <w:rPr>
      <w:rFonts w:ascii="Times New Roman" w:hAnsi="Times New Roman" w:eastAsia="Times New Roman" w:cs="Symbol"/>
      <w:caps w:val="false"/>
      <w:smallCaps w:val="false"/>
      <w:color w:val="000000"/>
      <w:sz w:val="20"/>
      <w:shd w:fill="FFFFFF" w:val="clear"/>
      <w:lang w:val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f35f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0">
    <w:name w:val="Верхний колонтитул"/>
    <w:basedOn w:val="Normal"/>
    <w:link w:val="a5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7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7722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pPr>
      <w:widowControl w:val="false"/>
      <w:suppressAutoHyphens w:val="true"/>
      <w:bidi w:val="0"/>
      <w:spacing w:lineRule="auto" w:line="252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11">
    <w:name w:val="Название объекта1"/>
    <w:basedOn w:val="Normal"/>
    <w:pPr>
      <w:jc w:val="center"/>
    </w:pPr>
    <w:rPr>
      <w:b/>
      <w:lang w:val="ru-RU"/>
    </w:rPr>
  </w:style>
  <w:style w:type="paragraph" w:styleId="Style22">
    <w:name w:val="Подзаголовок"/>
    <w:basedOn w:val="Normal"/>
    <w:next w:val="Normal"/>
    <w:pPr>
      <w:suppressAutoHyphens w:val="true"/>
      <w:ind w:left="0" w:right="0" w:hanging="0"/>
    </w:pPr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paragraph" w:styleId="21">
    <w:name w:val="Цитата2"/>
    <w:basedOn w:val="Normal"/>
    <w:pPr>
      <w:spacing w:lineRule="atLeast" w:line="240"/>
      <w:ind w:left="1134" w:right="397" w:hanging="0"/>
      <w:jc w:val="both"/>
    </w:pPr>
    <w:rPr/>
  </w:style>
  <w:style w:type="paragraph" w:styleId="Style23">
    <w:name w:val="Блочная цитата"/>
    <w:basedOn w:val="Normal"/>
    <w:pPr/>
    <w:rPr/>
  </w:style>
  <w:style w:type="paragraph" w:styleId="Style24">
    <w:name w:val="Заглавие"/>
    <w:basedOn w:val="Style15"/>
    <w:pPr/>
    <w:rPr/>
  </w:style>
  <w:style w:type="paragraph" w:styleId="Style25">
    <w:name w:val="Основной текст с отступом"/>
    <w:basedOn w:val="Normal"/>
    <w:pPr>
      <w:ind w:left="0" w:right="397" w:hanging="0"/>
      <w:jc w:val="both"/>
    </w:pPr>
    <w:rPr>
      <w:lang w:val="ru-RU"/>
    </w:rPr>
  </w:style>
  <w:style w:type="paragraph" w:styleId="Style26">
    <w:name w:val="Содержимое таблицы"/>
    <w:basedOn w:val="Normal"/>
    <w:pPr/>
    <w:rPr/>
  </w:style>
  <w:style w:type="paragraph" w:styleId="Style27">
    <w:name w:val="Заголовок таблицы"/>
    <w:basedOn w:val="Style26"/>
    <w:pPr/>
    <w:rPr/>
  </w:style>
  <w:style w:type="paragraph" w:styleId="211">
    <w:name w:val="Основной текст с отступом 21"/>
    <w:basedOn w:val="Normal"/>
    <w:pPr>
      <w:suppressAutoHyphens w:val="true"/>
      <w:ind w:left="0" w:right="0" w:firstLine="720"/>
      <w:jc w:val="both"/>
    </w:pPr>
    <w:rPr/>
  </w:style>
  <w:style w:type="paragraph" w:styleId="ConsPlusNormal">
    <w:name w:val="ConsPlusNormal"/>
    <w:pPr>
      <w:widowControl/>
      <w:suppressAutoHyphens w:val="true"/>
      <w:overflowPunct w:val="false"/>
      <w:bidi w:val="0"/>
      <w:spacing w:lineRule="auto" w:line="252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a680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14222</TotalTime>
  <Application>LibreOffice/4.3.4.1$Windows_x86 LibreOffice_project/bc356b2f991740509f321d70e4512a6a54c5f243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2015-04-07T11:48:00Z</dcterms:created>
  <dc:creator>Finans</dc:creator>
  <dc:language>ru-RU</dc:language>
  <cp:lastPrinted>2017-01-27T04:51:00Z</cp:lastPrinted>
  <dcterms:modified xsi:type="dcterms:W3CDTF">2018-11-13T14:04:30Z</dcterms:modified>
  <cp:revision>42</cp:revision>
</cp:coreProperties>
</file>